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6268" w14:textId="77777777" w:rsidR="000C02F1" w:rsidRDefault="00B4266F"/>
    <w:p w14:paraId="05C620DA" w14:textId="7448316A" w:rsidR="00C51349" w:rsidRDefault="00437E65" w:rsidP="00C51349">
      <w:r>
        <w:t xml:space="preserve">Dear </w:t>
      </w:r>
      <w:proofErr w:type="spellStart"/>
      <w:r>
        <w:t>Cadgewith</w:t>
      </w:r>
      <w:proofErr w:type="spellEnd"/>
      <w:r>
        <w:t xml:space="preserve"> Resident,</w:t>
      </w:r>
    </w:p>
    <w:p w14:paraId="1CE70258" w14:textId="64785D2C" w:rsidR="00C51349" w:rsidRDefault="00C51349" w:rsidP="00437E65">
      <w:pPr>
        <w:pStyle w:val="ListParagraph"/>
      </w:pPr>
      <w:r>
        <w:t xml:space="preserve">We are pleased to present this year’s annual water quality report (Consumer Confidence Report) as required by </w:t>
      </w:r>
      <w:r w:rsidR="00437E65">
        <w:t>the Federal and State of Michigan Safe Drinking Water Acts (SDMA). This report discussed the source of your tap water, the results of tests that we regularly conduct to assure the quality of your water and additional information that you may wish to know about your drinking water.  This report is from the year prior.</w:t>
      </w:r>
    </w:p>
    <w:p w14:paraId="109CA526" w14:textId="77777777" w:rsidR="00437E65" w:rsidRDefault="00437E65" w:rsidP="00437E65">
      <w:pPr>
        <w:pStyle w:val="ListParagraph"/>
      </w:pPr>
    </w:p>
    <w:p w14:paraId="4EBED46E" w14:textId="303B76C5" w:rsidR="00A53C12" w:rsidRDefault="00437E65" w:rsidP="00A53C12">
      <w:r>
        <w:t xml:space="preserve">About my water: </w:t>
      </w:r>
    </w:p>
    <w:p w14:paraId="07988076" w14:textId="067F5B4F" w:rsidR="00437E65" w:rsidRDefault="00A53C12" w:rsidP="00437E65">
      <w:pPr>
        <w:pStyle w:val="ListParagraph"/>
        <w:numPr>
          <w:ilvl w:val="0"/>
          <w:numId w:val="4"/>
        </w:numPr>
      </w:pPr>
      <w:proofErr w:type="spellStart"/>
      <w:r>
        <w:t>Cadgewith</w:t>
      </w:r>
      <w:proofErr w:type="spellEnd"/>
      <w:r>
        <w:t xml:space="preserve"> Farms has two wells both 400 feet below ground</w:t>
      </w:r>
      <w:r w:rsidR="00437E65">
        <w:t>, serving 228 homes</w:t>
      </w:r>
      <w:r>
        <w:t xml:space="preserve">.  The source of this plentiful supply is an underground aquifer called the Saginaw Formation, which underlies much Mid-Michigan. </w:t>
      </w:r>
      <w:r w:rsidR="006206E2">
        <w:t xml:space="preserve">Water from this aquifer is brought up into the well house via 2 wells and pumps, into a storage tank, and disbursed out to our customer.  We have no treatment on this water.  </w:t>
      </w:r>
    </w:p>
    <w:p w14:paraId="102FF943" w14:textId="0084EAE4" w:rsidR="00A53C12" w:rsidRDefault="00A53C12" w:rsidP="00437E65">
      <w:pPr>
        <w:pStyle w:val="ListParagraph"/>
        <w:numPr>
          <w:ilvl w:val="0"/>
          <w:numId w:val="4"/>
        </w:numPr>
      </w:pPr>
      <w:r>
        <w:t xml:space="preserve">For more information on the Saginaw formation and safe drinking water, visit the US Environmental Protection Agency (EPA) at </w:t>
      </w:r>
      <w:r w:rsidR="00771132">
        <w:t>www3.epa.gov</w:t>
      </w:r>
      <w:r>
        <w:t xml:space="preserve">. </w:t>
      </w:r>
    </w:p>
    <w:p w14:paraId="1B7A2CC0" w14:textId="3A47557E" w:rsidR="00A53C12" w:rsidRDefault="005670E5" w:rsidP="00A53C12">
      <w:r>
        <w:rPr>
          <w:noProof/>
        </w:rPr>
        <mc:AlternateContent>
          <mc:Choice Requires="wps">
            <w:drawing>
              <wp:anchor distT="0" distB="0" distL="114300" distR="114300" simplePos="0" relativeHeight="251659264" behindDoc="0" locked="0" layoutInCell="1" allowOverlap="1" wp14:anchorId="5DA7A8AD" wp14:editId="4B75C848">
                <wp:simplePos x="0" y="0"/>
                <wp:positionH relativeFrom="column">
                  <wp:posOffset>-291465</wp:posOffset>
                </wp:positionH>
                <wp:positionV relativeFrom="paragraph">
                  <wp:posOffset>146685</wp:posOffset>
                </wp:positionV>
                <wp:extent cx="6629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7D7C0"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5pt,11.55pt" to="499.0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" strokecolor="#5b9bd5 [3204]" strokeweight=".5pt">
                <v:stroke joinstyle="miter"/>
              </v:line>
            </w:pict>
          </mc:Fallback>
        </mc:AlternateContent>
      </w:r>
    </w:p>
    <w:p w14:paraId="2967A3D0" w14:textId="089A4C15" w:rsidR="00135691" w:rsidRPr="005670E5" w:rsidRDefault="005670E5" w:rsidP="005670E5">
      <w:pPr>
        <w:jc w:val="center"/>
        <w:rPr>
          <w:sz w:val="32"/>
          <w:szCs w:val="32"/>
        </w:rPr>
      </w:pPr>
      <w:r w:rsidRPr="005670E5">
        <w:rPr>
          <w:color w:val="1F4E79" w:themeColor="accent1" w:themeShade="80"/>
          <w:sz w:val="32"/>
          <w:szCs w:val="32"/>
        </w:rPr>
        <w:t>Water Quality Data Table</w:t>
      </w:r>
    </w:p>
    <w:p w14:paraId="6A6039E7" w14:textId="2CD1CD77" w:rsidR="005670E5" w:rsidRDefault="005670E5" w:rsidP="005670E5">
      <w:pPr>
        <w:rPr>
          <w:sz w:val="20"/>
          <w:szCs w:val="20"/>
        </w:rPr>
      </w:pPr>
      <w:r w:rsidRPr="005670E5">
        <w:rPr>
          <w:sz w:val="20"/>
          <w:szCs w:val="20"/>
        </w:rPr>
        <w:t xml:space="preserve">In order to ensure that tap water is safe to drink, EPA prescribes regulations which limit the amount of contaminates in water provided by public water systems.  The table below lists all of the drinking water contaminates that we detected during the calendar year of this report. Although many more contaminants were tested, only those substances listed below were found in your water.  All sources of drinking water contain some naturally occurring contaminates, at low levels, these substances are generally not harmful in our drinking water.  Removing all contaminates would be extremely expensive and in most cases, would not provide increased protection of public health.  A few naturally occurring minerals mat actually improve the taste of drinking water and have nutritional value at low levels.  Unless otherwise noted, that data presented in this table is from testing done in the calendar year of the report. The EPA or the State requires us to monitor for certain contaminates less than once pre year because the concentration of these contaminates do not vary significantly from year to year, or the system is not considered vulnerable to this type of contamination.  As such, some of our data, through representative, may be more than one-year-old.  In this table you will find terms and abbreviations that might not be familiar to you.  To help you better understand these terms, we have provided the definitions below the table. </w:t>
      </w:r>
    </w:p>
    <w:tbl>
      <w:tblPr>
        <w:tblW w:w="10530" w:type="dxa"/>
        <w:tblInd w:w="174"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6"/>
        <w:gridCol w:w="1601"/>
        <w:gridCol w:w="89"/>
        <w:gridCol w:w="802"/>
        <w:gridCol w:w="802"/>
        <w:gridCol w:w="1157"/>
        <w:gridCol w:w="178"/>
        <w:gridCol w:w="624"/>
        <w:gridCol w:w="711"/>
        <w:gridCol w:w="623"/>
        <w:gridCol w:w="535"/>
        <w:gridCol w:w="622"/>
        <w:gridCol w:w="2577"/>
        <w:gridCol w:w="203"/>
      </w:tblGrid>
      <w:tr w:rsidR="008B05CB" w14:paraId="32225CA6" w14:textId="77777777" w:rsidTr="00C3319A">
        <w:tblPrEx>
          <w:tblCellMar>
            <w:top w:w="0" w:type="dxa"/>
            <w:bottom w:w="0" w:type="dxa"/>
          </w:tblCellMar>
        </w:tblPrEx>
        <w:trPr>
          <w:gridBefore w:val="1"/>
          <w:wBefore w:w="6" w:type="dxa"/>
        </w:trPr>
        <w:tc>
          <w:tcPr>
            <w:tcW w:w="1690" w:type="dxa"/>
            <w:gridSpan w:val="2"/>
            <w:tcBorders>
              <w:top w:val="single" w:sz="6" w:space="0" w:color="000000"/>
              <w:left w:val="single" w:sz="6" w:space="0" w:color="000000"/>
              <w:bottom w:val="single" w:sz="6" w:space="0" w:color="000000"/>
            </w:tcBorders>
            <w:shd w:val="pct37" w:color="C0C0C0" w:fill="FFFFFF"/>
            <w:vAlign w:val="center"/>
          </w:tcPr>
          <w:p w14:paraId="024F8A4B" w14:textId="7BA73782" w:rsidR="008B05CB" w:rsidRDefault="008B05CB" w:rsidP="00CE19C6">
            <w:pPr>
              <w:pStyle w:val="Heading2"/>
              <w:spacing w:before="40" w:after="40"/>
              <w:jc w:val="center"/>
            </w:pPr>
            <w:r>
              <w:t>Regulated</w:t>
            </w:r>
            <w:r>
              <w:br/>
              <w:t>Contaminant</w:t>
            </w:r>
          </w:p>
        </w:tc>
        <w:tc>
          <w:tcPr>
            <w:tcW w:w="802" w:type="dxa"/>
            <w:tcBorders>
              <w:top w:val="single" w:sz="6" w:space="0" w:color="000000"/>
              <w:bottom w:val="nil"/>
            </w:tcBorders>
            <w:shd w:val="pct37" w:color="C0C0C0" w:fill="FFFFFF"/>
            <w:vAlign w:val="center"/>
          </w:tcPr>
          <w:p w14:paraId="40790037" w14:textId="77777777" w:rsidR="008B05CB" w:rsidRDefault="008B05CB" w:rsidP="00CE19C6">
            <w:pPr>
              <w:pStyle w:val="Heading3"/>
              <w:spacing w:before="40" w:after="40"/>
              <w:jc w:val="center"/>
              <w:rPr>
                <w:sz w:val="18"/>
              </w:rPr>
            </w:pPr>
            <w:r>
              <w:rPr>
                <w:sz w:val="18"/>
              </w:rPr>
              <w:t>MCL</w:t>
            </w:r>
          </w:p>
        </w:tc>
        <w:tc>
          <w:tcPr>
            <w:tcW w:w="802" w:type="dxa"/>
            <w:tcBorders>
              <w:top w:val="single" w:sz="6" w:space="0" w:color="000000"/>
              <w:bottom w:val="nil"/>
            </w:tcBorders>
            <w:shd w:val="pct37" w:color="C0C0C0" w:fill="FFFFFF"/>
            <w:vAlign w:val="center"/>
          </w:tcPr>
          <w:p w14:paraId="7D0A14D2" w14:textId="77777777" w:rsidR="008B05CB" w:rsidRDefault="008B05CB" w:rsidP="00CE19C6">
            <w:pPr>
              <w:spacing w:before="40" w:after="40"/>
              <w:jc w:val="center"/>
              <w:rPr>
                <w:b/>
                <w:sz w:val="18"/>
              </w:rPr>
            </w:pPr>
            <w:r>
              <w:rPr>
                <w:b/>
                <w:sz w:val="18"/>
              </w:rPr>
              <w:t>MCLG</w:t>
            </w:r>
          </w:p>
        </w:tc>
        <w:tc>
          <w:tcPr>
            <w:tcW w:w="1335" w:type="dxa"/>
            <w:gridSpan w:val="2"/>
            <w:tcBorders>
              <w:top w:val="single" w:sz="6" w:space="0" w:color="000000"/>
              <w:bottom w:val="nil"/>
            </w:tcBorders>
            <w:shd w:val="pct37" w:color="C0C0C0" w:fill="FFFFFF"/>
            <w:vAlign w:val="center"/>
          </w:tcPr>
          <w:p w14:paraId="06CDC124" w14:textId="77777777" w:rsidR="008B05CB" w:rsidRDefault="008B05CB" w:rsidP="00CE19C6">
            <w:pPr>
              <w:pStyle w:val="Heading5"/>
              <w:spacing w:before="40" w:after="40"/>
              <w:rPr>
                <w:sz w:val="12"/>
              </w:rPr>
            </w:pPr>
            <w:r>
              <w:t>Level Detected</w:t>
            </w:r>
          </w:p>
        </w:tc>
        <w:tc>
          <w:tcPr>
            <w:tcW w:w="1335" w:type="dxa"/>
            <w:gridSpan w:val="2"/>
            <w:tcBorders>
              <w:top w:val="single" w:sz="6" w:space="0" w:color="000000"/>
              <w:bottom w:val="nil"/>
            </w:tcBorders>
            <w:shd w:val="pct37" w:color="C0C0C0" w:fill="FFFFFF"/>
            <w:vAlign w:val="center"/>
          </w:tcPr>
          <w:p w14:paraId="1E773781" w14:textId="77777777" w:rsidR="008B05CB" w:rsidRDefault="008B05CB" w:rsidP="00CE19C6">
            <w:pPr>
              <w:spacing w:before="40" w:after="40"/>
              <w:jc w:val="center"/>
              <w:rPr>
                <w:b/>
                <w:sz w:val="18"/>
              </w:rPr>
            </w:pPr>
            <w:r>
              <w:rPr>
                <w:b/>
                <w:sz w:val="18"/>
              </w:rPr>
              <w:t>Year Sampled</w:t>
            </w:r>
          </w:p>
        </w:tc>
        <w:tc>
          <w:tcPr>
            <w:tcW w:w="1158" w:type="dxa"/>
            <w:gridSpan w:val="2"/>
            <w:tcBorders>
              <w:top w:val="single" w:sz="6" w:space="0" w:color="000000"/>
              <w:bottom w:val="nil"/>
            </w:tcBorders>
            <w:shd w:val="pct37" w:color="C0C0C0" w:fill="FFFFFF"/>
            <w:vAlign w:val="center"/>
          </w:tcPr>
          <w:p w14:paraId="5E9916E5" w14:textId="77777777" w:rsidR="008B05CB" w:rsidRDefault="008B05CB" w:rsidP="00CE19C6">
            <w:pPr>
              <w:spacing w:before="40" w:after="40"/>
              <w:jc w:val="center"/>
              <w:rPr>
                <w:b/>
                <w:sz w:val="18"/>
              </w:rPr>
            </w:pPr>
            <w:r>
              <w:rPr>
                <w:b/>
                <w:sz w:val="18"/>
              </w:rPr>
              <w:t>Violation</w:t>
            </w:r>
            <w:r>
              <w:rPr>
                <w:b/>
                <w:sz w:val="18"/>
              </w:rPr>
              <w:br/>
              <w:t>Yes / No</w:t>
            </w:r>
          </w:p>
        </w:tc>
        <w:tc>
          <w:tcPr>
            <w:tcW w:w="3402" w:type="dxa"/>
            <w:gridSpan w:val="3"/>
            <w:tcBorders>
              <w:top w:val="single" w:sz="6" w:space="0" w:color="000000"/>
              <w:bottom w:val="single" w:sz="6" w:space="0" w:color="000000"/>
              <w:right w:val="single" w:sz="6" w:space="0" w:color="000000"/>
            </w:tcBorders>
            <w:shd w:val="pct37" w:color="C0C0C0" w:fill="FFFFFF"/>
            <w:vAlign w:val="center"/>
          </w:tcPr>
          <w:p w14:paraId="32103086" w14:textId="77777777" w:rsidR="008B05CB" w:rsidRDefault="008B05CB" w:rsidP="00CE19C6">
            <w:pPr>
              <w:spacing w:before="40" w:after="40"/>
              <w:jc w:val="center"/>
              <w:rPr>
                <w:b/>
                <w:sz w:val="18"/>
              </w:rPr>
            </w:pPr>
            <w:r>
              <w:rPr>
                <w:b/>
                <w:sz w:val="18"/>
              </w:rPr>
              <w:t>Typical Source of Contaminant</w:t>
            </w:r>
          </w:p>
        </w:tc>
      </w:tr>
      <w:tr w:rsidR="008B05CB" w14:paraId="51791273" w14:textId="77777777" w:rsidTr="00C3319A">
        <w:tblPrEx>
          <w:tblCellMar>
            <w:top w:w="0" w:type="dxa"/>
            <w:bottom w:w="0" w:type="dxa"/>
          </w:tblCellMar>
        </w:tblPrEx>
        <w:trPr>
          <w:gridBefore w:val="1"/>
          <w:wBefore w:w="6" w:type="dxa"/>
          <w:trHeight w:val="570"/>
        </w:trPr>
        <w:tc>
          <w:tcPr>
            <w:tcW w:w="1690" w:type="dxa"/>
            <w:gridSpan w:val="2"/>
            <w:tcBorders>
              <w:top w:val="single" w:sz="6" w:space="0" w:color="000000"/>
              <w:left w:val="single" w:sz="6" w:space="0" w:color="000000"/>
              <w:bottom w:val="single" w:sz="6" w:space="0" w:color="000000"/>
            </w:tcBorders>
            <w:vAlign w:val="center"/>
          </w:tcPr>
          <w:p w14:paraId="2003CBF2" w14:textId="77777777" w:rsidR="008B05CB" w:rsidRDefault="008B05CB" w:rsidP="00CE19C6">
            <w:pPr>
              <w:spacing w:before="40" w:after="40"/>
              <w:jc w:val="center"/>
              <w:rPr>
                <w:sz w:val="18"/>
              </w:rPr>
            </w:pPr>
            <w:r>
              <w:rPr>
                <w:sz w:val="18"/>
              </w:rPr>
              <w:t>Fluoride</w:t>
            </w:r>
            <w:r>
              <w:rPr>
                <w:sz w:val="18"/>
              </w:rPr>
              <w:br/>
              <w:t>(ppm)</w:t>
            </w:r>
          </w:p>
        </w:tc>
        <w:tc>
          <w:tcPr>
            <w:tcW w:w="802" w:type="dxa"/>
            <w:tcBorders>
              <w:top w:val="single" w:sz="6" w:space="0" w:color="000000"/>
              <w:bottom w:val="single" w:sz="6" w:space="0" w:color="000000"/>
            </w:tcBorders>
            <w:vAlign w:val="center"/>
          </w:tcPr>
          <w:p w14:paraId="4CB3C347" w14:textId="77777777" w:rsidR="008B05CB" w:rsidRDefault="008B05CB" w:rsidP="00CE19C6">
            <w:pPr>
              <w:spacing w:before="40" w:after="40"/>
              <w:jc w:val="center"/>
              <w:rPr>
                <w:sz w:val="18"/>
              </w:rPr>
            </w:pPr>
            <w:r>
              <w:rPr>
                <w:sz w:val="18"/>
              </w:rPr>
              <w:t>4</w:t>
            </w:r>
          </w:p>
        </w:tc>
        <w:tc>
          <w:tcPr>
            <w:tcW w:w="802" w:type="dxa"/>
            <w:tcBorders>
              <w:top w:val="single" w:sz="6" w:space="0" w:color="000000"/>
              <w:bottom w:val="single" w:sz="6" w:space="0" w:color="000000"/>
            </w:tcBorders>
            <w:vAlign w:val="center"/>
          </w:tcPr>
          <w:p w14:paraId="275755C2" w14:textId="77777777" w:rsidR="008B05CB" w:rsidRDefault="008B05CB" w:rsidP="00CE19C6">
            <w:pPr>
              <w:spacing w:before="40" w:after="40"/>
              <w:jc w:val="center"/>
              <w:rPr>
                <w:sz w:val="18"/>
              </w:rPr>
            </w:pPr>
            <w:r>
              <w:rPr>
                <w:sz w:val="18"/>
              </w:rPr>
              <w:t>4</w:t>
            </w:r>
          </w:p>
        </w:tc>
        <w:tc>
          <w:tcPr>
            <w:tcW w:w="1335" w:type="dxa"/>
            <w:gridSpan w:val="2"/>
            <w:tcBorders>
              <w:top w:val="single" w:sz="6" w:space="0" w:color="000000"/>
              <w:bottom w:val="single" w:sz="6" w:space="0" w:color="000000"/>
            </w:tcBorders>
            <w:vAlign w:val="center"/>
          </w:tcPr>
          <w:p w14:paraId="5C81BA95" w14:textId="1DEAAEF5" w:rsidR="008B05CB" w:rsidRDefault="00C3319A" w:rsidP="00CE19C6">
            <w:pPr>
              <w:spacing w:before="40" w:after="40"/>
              <w:jc w:val="center"/>
              <w:rPr>
                <w:sz w:val="18"/>
              </w:rPr>
            </w:pPr>
            <w:r>
              <w:rPr>
                <w:sz w:val="18"/>
              </w:rPr>
              <w:t>0.50</w:t>
            </w:r>
          </w:p>
        </w:tc>
        <w:tc>
          <w:tcPr>
            <w:tcW w:w="1335" w:type="dxa"/>
            <w:gridSpan w:val="2"/>
            <w:tcBorders>
              <w:top w:val="single" w:sz="6" w:space="0" w:color="000000"/>
              <w:bottom w:val="single" w:sz="6" w:space="0" w:color="000000"/>
            </w:tcBorders>
            <w:vAlign w:val="center"/>
          </w:tcPr>
          <w:p w14:paraId="77DFCE6D" w14:textId="4F46B1CA" w:rsidR="008B05CB" w:rsidRDefault="00C3319A" w:rsidP="00CE19C6">
            <w:pPr>
              <w:spacing w:before="40" w:after="40"/>
              <w:jc w:val="center"/>
              <w:rPr>
                <w:sz w:val="18"/>
              </w:rPr>
            </w:pPr>
            <w:r>
              <w:rPr>
                <w:sz w:val="18"/>
              </w:rPr>
              <w:t>2015</w:t>
            </w:r>
          </w:p>
        </w:tc>
        <w:tc>
          <w:tcPr>
            <w:tcW w:w="1158" w:type="dxa"/>
            <w:gridSpan w:val="2"/>
            <w:tcBorders>
              <w:top w:val="single" w:sz="6" w:space="0" w:color="000000"/>
              <w:bottom w:val="single" w:sz="6" w:space="0" w:color="000000"/>
            </w:tcBorders>
            <w:vAlign w:val="center"/>
          </w:tcPr>
          <w:p w14:paraId="5FFF25CE" w14:textId="661F627B" w:rsidR="008B05CB" w:rsidRDefault="00C3319A" w:rsidP="00CE19C6">
            <w:pPr>
              <w:spacing w:before="40" w:after="40"/>
              <w:jc w:val="center"/>
              <w:rPr>
                <w:sz w:val="18"/>
              </w:rPr>
            </w:pPr>
            <w:r>
              <w:rPr>
                <w:sz w:val="18"/>
              </w:rPr>
              <w:t>No</w:t>
            </w:r>
          </w:p>
        </w:tc>
        <w:tc>
          <w:tcPr>
            <w:tcW w:w="3402" w:type="dxa"/>
            <w:gridSpan w:val="3"/>
            <w:tcBorders>
              <w:top w:val="single" w:sz="6" w:space="0" w:color="000000"/>
              <w:bottom w:val="single" w:sz="6" w:space="0" w:color="000000"/>
              <w:right w:val="single" w:sz="6" w:space="0" w:color="000000"/>
            </w:tcBorders>
            <w:vAlign w:val="center"/>
          </w:tcPr>
          <w:p w14:paraId="5A5A3390" w14:textId="77777777" w:rsidR="008B05CB" w:rsidRDefault="008B05CB" w:rsidP="00CE19C6">
            <w:pPr>
              <w:spacing w:before="40" w:after="40"/>
              <w:jc w:val="center"/>
              <w:rPr>
                <w:sz w:val="16"/>
              </w:rPr>
            </w:pPr>
            <w:r>
              <w:rPr>
                <w:sz w:val="16"/>
              </w:rPr>
              <w:t>Erosion of natural deposits. Discharge from fertilizer and aluminum factories.</w:t>
            </w:r>
          </w:p>
        </w:tc>
      </w:tr>
      <w:tr w:rsidR="008B05CB" w14:paraId="2549DD67" w14:textId="77777777" w:rsidTr="00C3319A">
        <w:tblPrEx>
          <w:tblCellMar>
            <w:top w:w="0" w:type="dxa"/>
            <w:bottom w:w="0" w:type="dxa"/>
          </w:tblCellMar>
        </w:tblPrEx>
        <w:trPr>
          <w:gridBefore w:val="1"/>
          <w:wBefore w:w="6" w:type="dxa"/>
        </w:trPr>
        <w:tc>
          <w:tcPr>
            <w:tcW w:w="1690" w:type="dxa"/>
            <w:gridSpan w:val="2"/>
            <w:tcBorders>
              <w:top w:val="single" w:sz="6" w:space="0" w:color="000000"/>
              <w:left w:val="single" w:sz="6" w:space="0" w:color="000000"/>
              <w:bottom w:val="single" w:sz="6" w:space="0" w:color="000000"/>
            </w:tcBorders>
            <w:shd w:val="pct37" w:color="C0C0C0" w:fill="auto"/>
            <w:vAlign w:val="center"/>
          </w:tcPr>
          <w:p w14:paraId="215F7E9B" w14:textId="77777777" w:rsidR="008B05CB" w:rsidRDefault="008B05CB" w:rsidP="00CE19C6">
            <w:pPr>
              <w:pStyle w:val="Heading2"/>
              <w:spacing w:before="40" w:after="40"/>
              <w:jc w:val="center"/>
            </w:pPr>
            <w:r>
              <w:t>Radioactive</w:t>
            </w:r>
            <w:r>
              <w:br/>
              <w:t>Contaminant</w:t>
            </w:r>
          </w:p>
        </w:tc>
        <w:tc>
          <w:tcPr>
            <w:tcW w:w="802" w:type="dxa"/>
            <w:tcBorders>
              <w:top w:val="single" w:sz="6" w:space="0" w:color="000000"/>
              <w:bottom w:val="single" w:sz="6" w:space="0" w:color="000000"/>
            </w:tcBorders>
            <w:shd w:val="pct37" w:color="C0C0C0" w:fill="auto"/>
            <w:vAlign w:val="center"/>
          </w:tcPr>
          <w:p w14:paraId="6788CE3B" w14:textId="77777777" w:rsidR="008B05CB" w:rsidRDefault="008B05CB" w:rsidP="00CE19C6">
            <w:pPr>
              <w:spacing w:before="40" w:after="40"/>
              <w:jc w:val="center"/>
              <w:rPr>
                <w:sz w:val="18"/>
              </w:rPr>
            </w:pPr>
          </w:p>
        </w:tc>
        <w:tc>
          <w:tcPr>
            <w:tcW w:w="802" w:type="dxa"/>
            <w:tcBorders>
              <w:top w:val="single" w:sz="6" w:space="0" w:color="000000"/>
              <w:bottom w:val="single" w:sz="6" w:space="0" w:color="000000"/>
            </w:tcBorders>
            <w:shd w:val="pct37" w:color="C0C0C0" w:fill="auto"/>
            <w:vAlign w:val="center"/>
          </w:tcPr>
          <w:p w14:paraId="065CAA0B" w14:textId="77777777" w:rsidR="008B05CB" w:rsidRDefault="008B05CB" w:rsidP="00CE19C6">
            <w:pPr>
              <w:spacing w:before="40" w:after="40"/>
              <w:jc w:val="center"/>
              <w:rPr>
                <w:sz w:val="18"/>
              </w:rPr>
            </w:pPr>
          </w:p>
        </w:tc>
        <w:tc>
          <w:tcPr>
            <w:tcW w:w="1335" w:type="dxa"/>
            <w:gridSpan w:val="2"/>
            <w:tcBorders>
              <w:top w:val="single" w:sz="6" w:space="0" w:color="000000"/>
              <w:bottom w:val="single" w:sz="6" w:space="0" w:color="000000"/>
            </w:tcBorders>
            <w:shd w:val="pct37" w:color="C0C0C0" w:fill="auto"/>
            <w:vAlign w:val="center"/>
          </w:tcPr>
          <w:p w14:paraId="2BF41E19" w14:textId="77777777" w:rsidR="008B05CB" w:rsidRDefault="008B05CB" w:rsidP="00CE19C6">
            <w:pPr>
              <w:spacing w:before="40" w:after="40"/>
              <w:jc w:val="center"/>
              <w:rPr>
                <w:sz w:val="18"/>
              </w:rPr>
            </w:pPr>
          </w:p>
        </w:tc>
        <w:tc>
          <w:tcPr>
            <w:tcW w:w="1335" w:type="dxa"/>
            <w:gridSpan w:val="2"/>
            <w:tcBorders>
              <w:top w:val="single" w:sz="6" w:space="0" w:color="000000"/>
              <w:bottom w:val="single" w:sz="6" w:space="0" w:color="000000"/>
            </w:tcBorders>
            <w:shd w:val="pct37" w:color="C0C0C0" w:fill="auto"/>
            <w:vAlign w:val="center"/>
          </w:tcPr>
          <w:p w14:paraId="4F335E1A" w14:textId="77777777" w:rsidR="008B05CB" w:rsidRDefault="008B05CB" w:rsidP="00CE19C6">
            <w:pPr>
              <w:spacing w:before="40" w:after="40"/>
              <w:jc w:val="center"/>
              <w:rPr>
                <w:sz w:val="18"/>
              </w:rPr>
            </w:pPr>
          </w:p>
        </w:tc>
        <w:tc>
          <w:tcPr>
            <w:tcW w:w="1158" w:type="dxa"/>
            <w:gridSpan w:val="2"/>
            <w:tcBorders>
              <w:top w:val="single" w:sz="6" w:space="0" w:color="000000"/>
              <w:bottom w:val="single" w:sz="6" w:space="0" w:color="000000"/>
            </w:tcBorders>
            <w:shd w:val="pct37" w:color="C0C0C0" w:fill="auto"/>
            <w:vAlign w:val="center"/>
          </w:tcPr>
          <w:p w14:paraId="00ADEE0E" w14:textId="77777777" w:rsidR="008B05CB" w:rsidRDefault="008B05CB" w:rsidP="00CE19C6">
            <w:pPr>
              <w:spacing w:before="40" w:after="40"/>
              <w:jc w:val="center"/>
              <w:rPr>
                <w:sz w:val="18"/>
              </w:rPr>
            </w:pPr>
          </w:p>
        </w:tc>
        <w:tc>
          <w:tcPr>
            <w:tcW w:w="3402" w:type="dxa"/>
            <w:gridSpan w:val="3"/>
            <w:tcBorders>
              <w:top w:val="single" w:sz="6" w:space="0" w:color="000000"/>
              <w:bottom w:val="single" w:sz="6" w:space="0" w:color="000000"/>
              <w:right w:val="single" w:sz="6" w:space="0" w:color="000000"/>
            </w:tcBorders>
            <w:shd w:val="pct37" w:color="C0C0C0" w:fill="auto"/>
            <w:vAlign w:val="center"/>
          </w:tcPr>
          <w:p w14:paraId="2B924410" w14:textId="77777777" w:rsidR="008B05CB" w:rsidRDefault="008B05CB" w:rsidP="00CE19C6">
            <w:pPr>
              <w:spacing w:before="40" w:after="40"/>
              <w:jc w:val="center"/>
              <w:rPr>
                <w:sz w:val="18"/>
              </w:rPr>
            </w:pPr>
            <w:r>
              <w:rPr>
                <w:b/>
                <w:sz w:val="18"/>
              </w:rPr>
              <w:t>Typical Source of Contaminant</w:t>
            </w:r>
          </w:p>
        </w:tc>
      </w:tr>
      <w:tr w:rsidR="008B05CB" w14:paraId="5C1E2A02" w14:textId="77777777" w:rsidTr="00C3319A">
        <w:tblPrEx>
          <w:tblCellMar>
            <w:top w:w="0" w:type="dxa"/>
            <w:bottom w:w="0" w:type="dxa"/>
          </w:tblCellMar>
        </w:tblPrEx>
        <w:trPr>
          <w:gridBefore w:val="1"/>
          <w:wBefore w:w="6" w:type="dxa"/>
        </w:trPr>
        <w:tc>
          <w:tcPr>
            <w:tcW w:w="1690" w:type="dxa"/>
            <w:gridSpan w:val="2"/>
            <w:tcBorders>
              <w:top w:val="single" w:sz="6" w:space="0" w:color="000000"/>
              <w:left w:val="single" w:sz="6" w:space="0" w:color="000000"/>
              <w:bottom w:val="single" w:sz="6" w:space="0" w:color="000000"/>
            </w:tcBorders>
            <w:vAlign w:val="center"/>
          </w:tcPr>
          <w:p w14:paraId="1A39A458" w14:textId="77777777" w:rsidR="008B05CB" w:rsidRDefault="008B05CB" w:rsidP="00CE19C6">
            <w:pPr>
              <w:pStyle w:val="Heading2"/>
              <w:spacing w:before="40" w:after="40"/>
              <w:jc w:val="center"/>
              <w:rPr>
                <w:b w:val="0"/>
              </w:rPr>
            </w:pPr>
            <w:r>
              <w:rPr>
                <w:b w:val="0"/>
              </w:rPr>
              <w:t>Combined radium</w:t>
            </w:r>
            <w:r>
              <w:rPr>
                <w:b w:val="0"/>
              </w:rPr>
              <w:br/>
              <w:t>(</w:t>
            </w:r>
            <w:proofErr w:type="spellStart"/>
            <w:r>
              <w:rPr>
                <w:b w:val="0"/>
              </w:rPr>
              <w:t>pCi</w:t>
            </w:r>
            <w:proofErr w:type="spellEnd"/>
            <w:r>
              <w:rPr>
                <w:b w:val="0"/>
              </w:rPr>
              <w:t>/L)</w:t>
            </w:r>
          </w:p>
        </w:tc>
        <w:tc>
          <w:tcPr>
            <w:tcW w:w="802" w:type="dxa"/>
            <w:tcBorders>
              <w:top w:val="single" w:sz="6" w:space="0" w:color="000000"/>
              <w:bottom w:val="nil"/>
            </w:tcBorders>
            <w:vAlign w:val="center"/>
          </w:tcPr>
          <w:p w14:paraId="306282E9" w14:textId="77777777" w:rsidR="008B05CB" w:rsidRDefault="008B05CB" w:rsidP="00CE19C6">
            <w:pPr>
              <w:spacing w:before="40" w:after="40"/>
              <w:jc w:val="center"/>
              <w:rPr>
                <w:sz w:val="18"/>
              </w:rPr>
            </w:pPr>
            <w:r>
              <w:rPr>
                <w:sz w:val="18"/>
              </w:rPr>
              <w:t>5</w:t>
            </w:r>
          </w:p>
        </w:tc>
        <w:tc>
          <w:tcPr>
            <w:tcW w:w="802" w:type="dxa"/>
            <w:tcBorders>
              <w:top w:val="single" w:sz="6" w:space="0" w:color="000000"/>
              <w:bottom w:val="nil"/>
            </w:tcBorders>
            <w:vAlign w:val="center"/>
          </w:tcPr>
          <w:p w14:paraId="4E44EE4C" w14:textId="77777777" w:rsidR="008B05CB" w:rsidRDefault="008B05CB" w:rsidP="00CE19C6">
            <w:pPr>
              <w:spacing w:before="40" w:after="40"/>
              <w:jc w:val="center"/>
              <w:rPr>
                <w:sz w:val="18"/>
              </w:rPr>
            </w:pPr>
            <w:r>
              <w:rPr>
                <w:sz w:val="18"/>
              </w:rPr>
              <w:t>0</w:t>
            </w:r>
          </w:p>
        </w:tc>
        <w:tc>
          <w:tcPr>
            <w:tcW w:w="1335" w:type="dxa"/>
            <w:gridSpan w:val="2"/>
            <w:tcBorders>
              <w:top w:val="single" w:sz="6" w:space="0" w:color="000000"/>
              <w:bottom w:val="nil"/>
            </w:tcBorders>
            <w:vAlign w:val="center"/>
          </w:tcPr>
          <w:p w14:paraId="4576C8A7" w14:textId="5D11E931" w:rsidR="008B05CB" w:rsidRDefault="00C3319A" w:rsidP="00CE19C6">
            <w:pPr>
              <w:spacing w:before="40" w:after="40"/>
              <w:jc w:val="center"/>
              <w:rPr>
                <w:sz w:val="18"/>
              </w:rPr>
            </w:pPr>
            <w:r>
              <w:rPr>
                <w:sz w:val="18"/>
              </w:rPr>
              <w:t>1.8</w:t>
            </w:r>
          </w:p>
        </w:tc>
        <w:tc>
          <w:tcPr>
            <w:tcW w:w="1335" w:type="dxa"/>
            <w:gridSpan w:val="2"/>
            <w:tcBorders>
              <w:top w:val="single" w:sz="6" w:space="0" w:color="000000"/>
              <w:bottom w:val="nil"/>
            </w:tcBorders>
            <w:vAlign w:val="center"/>
          </w:tcPr>
          <w:p w14:paraId="78FC8FD9" w14:textId="132BD4D8" w:rsidR="008B05CB" w:rsidRDefault="00C3319A" w:rsidP="00CE19C6">
            <w:pPr>
              <w:spacing w:before="40" w:after="40"/>
              <w:jc w:val="center"/>
              <w:rPr>
                <w:sz w:val="18"/>
              </w:rPr>
            </w:pPr>
            <w:r>
              <w:rPr>
                <w:sz w:val="18"/>
              </w:rPr>
              <w:t>2014</w:t>
            </w:r>
          </w:p>
        </w:tc>
        <w:tc>
          <w:tcPr>
            <w:tcW w:w="1158" w:type="dxa"/>
            <w:gridSpan w:val="2"/>
            <w:tcBorders>
              <w:top w:val="single" w:sz="6" w:space="0" w:color="000000"/>
              <w:bottom w:val="nil"/>
            </w:tcBorders>
            <w:vAlign w:val="center"/>
          </w:tcPr>
          <w:p w14:paraId="0C27683A" w14:textId="1391265B" w:rsidR="008B05CB" w:rsidRDefault="00C3319A" w:rsidP="00CE19C6">
            <w:pPr>
              <w:spacing w:before="40" w:after="40"/>
              <w:jc w:val="center"/>
              <w:rPr>
                <w:sz w:val="18"/>
              </w:rPr>
            </w:pPr>
            <w:r>
              <w:rPr>
                <w:sz w:val="18"/>
              </w:rPr>
              <w:t>NO</w:t>
            </w:r>
          </w:p>
        </w:tc>
        <w:tc>
          <w:tcPr>
            <w:tcW w:w="3402" w:type="dxa"/>
            <w:gridSpan w:val="3"/>
            <w:tcBorders>
              <w:top w:val="single" w:sz="6" w:space="0" w:color="000000"/>
              <w:bottom w:val="single" w:sz="6" w:space="0" w:color="000000"/>
              <w:right w:val="single" w:sz="6" w:space="0" w:color="000000"/>
            </w:tcBorders>
            <w:vAlign w:val="center"/>
          </w:tcPr>
          <w:p w14:paraId="5ED63E3A" w14:textId="77777777" w:rsidR="008B05CB" w:rsidRDefault="008B05CB" w:rsidP="00CE19C6">
            <w:pPr>
              <w:spacing w:before="40" w:after="40"/>
              <w:jc w:val="center"/>
              <w:rPr>
                <w:sz w:val="16"/>
              </w:rPr>
            </w:pPr>
            <w:r>
              <w:rPr>
                <w:sz w:val="16"/>
              </w:rPr>
              <w:t>Erosion of natural deposits</w:t>
            </w:r>
          </w:p>
        </w:tc>
      </w:tr>
      <w:tr w:rsidR="008B05CB" w:rsidRPr="008E54DD" w14:paraId="34C9B53C" w14:textId="77777777" w:rsidTr="00C3319A">
        <w:tblPrEx>
          <w:tblBorders>
            <w:top w:val="none" w:sz="0" w:space="0" w:color="auto"/>
            <w:bottom w:val="none" w:sz="0" w:space="0" w:color="auto"/>
          </w:tblBorders>
          <w:tblCellMar>
            <w:top w:w="0" w:type="dxa"/>
            <w:bottom w:w="0" w:type="dxa"/>
          </w:tblCellMar>
        </w:tblPrEx>
        <w:trPr>
          <w:gridBefore w:val="1"/>
          <w:wBefore w:w="6" w:type="dxa"/>
          <w:cantSplit/>
        </w:trPr>
        <w:tc>
          <w:tcPr>
            <w:tcW w:w="1690" w:type="dxa"/>
            <w:gridSpan w:val="2"/>
            <w:tcBorders>
              <w:top w:val="single" w:sz="6" w:space="0" w:color="000000"/>
              <w:left w:val="single" w:sz="6" w:space="0" w:color="000000"/>
              <w:bottom w:val="single" w:sz="6" w:space="0" w:color="000000"/>
              <w:right w:val="single" w:sz="6" w:space="0" w:color="000000"/>
            </w:tcBorders>
            <w:shd w:val="pct37" w:color="C0C0C0" w:fill="auto"/>
            <w:vAlign w:val="center"/>
          </w:tcPr>
          <w:p w14:paraId="0C3E80FF" w14:textId="77777777" w:rsidR="008B05CB" w:rsidRPr="008E54DD" w:rsidRDefault="008B05CB" w:rsidP="00CE19C6">
            <w:pPr>
              <w:pStyle w:val="Heading4"/>
              <w:rPr>
                <w:sz w:val="18"/>
                <w:szCs w:val="18"/>
              </w:rPr>
            </w:pPr>
            <w:r w:rsidRPr="008E54DD">
              <w:rPr>
                <w:sz w:val="18"/>
                <w:szCs w:val="18"/>
              </w:rPr>
              <w:t>Contaminant Subject to AL</w:t>
            </w:r>
          </w:p>
        </w:tc>
        <w:tc>
          <w:tcPr>
            <w:tcW w:w="802" w:type="dxa"/>
            <w:tcBorders>
              <w:top w:val="single" w:sz="6" w:space="0" w:color="000000"/>
              <w:left w:val="single" w:sz="6" w:space="0" w:color="000000"/>
              <w:bottom w:val="single" w:sz="6" w:space="0" w:color="000000"/>
              <w:right w:val="single" w:sz="6" w:space="0" w:color="000000"/>
            </w:tcBorders>
            <w:shd w:val="pct37" w:color="C0C0C0" w:fill="auto"/>
            <w:vAlign w:val="center"/>
          </w:tcPr>
          <w:p w14:paraId="54E76A30" w14:textId="77777777" w:rsidR="008B05CB" w:rsidRPr="008E54DD" w:rsidRDefault="008B05CB" w:rsidP="00CE19C6">
            <w:pPr>
              <w:pStyle w:val="Heading5"/>
              <w:spacing w:before="40" w:after="40"/>
            </w:pPr>
            <w:r>
              <w:t>Action Level</w:t>
            </w:r>
          </w:p>
        </w:tc>
        <w:tc>
          <w:tcPr>
            <w:tcW w:w="802" w:type="dxa"/>
            <w:tcBorders>
              <w:top w:val="single" w:sz="6" w:space="0" w:color="000000"/>
              <w:left w:val="single" w:sz="6" w:space="0" w:color="000000"/>
              <w:bottom w:val="single" w:sz="6" w:space="0" w:color="000000"/>
              <w:right w:val="single" w:sz="6" w:space="0" w:color="000000"/>
            </w:tcBorders>
            <w:shd w:val="pct37" w:color="C0C0C0" w:fill="auto"/>
            <w:vAlign w:val="center"/>
          </w:tcPr>
          <w:p w14:paraId="4CE18C14" w14:textId="77777777" w:rsidR="008B05CB" w:rsidRPr="008E54DD" w:rsidRDefault="008B05CB" w:rsidP="00CE19C6">
            <w:pPr>
              <w:pStyle w:val="Heading4"/>
              <w:rPr>
                <w:sz w:val="18"/>
                <w:szCs w:val="18"/>
              </w:rPr>
            </w:pPr>
            <w:r>
              <w:rPr>
                <w:sz w:val="18"/>
                <w:szCs w:val="18"/>
              </w:rPr>
              <w:t>MCLG</w:t>
            </w:r>
          </w:p>
        </w:tc>
        <w:tc>
          <w:tcPr>
            <w:tcW w:w="1335" w:type="dxa"/>
            <w:gridSpan w:val="2"/>
            <w:tcBorders>
              <w:top w:val="single" w:sz="6" w:space="0" w:color="000000"/>
              <w:left w:val="single" w:sz="6" w:space="0" w:color="000000"/>
              <w:bottom w:val="single" w:sz="6" w:space="0" w:color="000000"/>
              <w:right w:val="single" w:sz="6" w:space="0" w:color="000000"/>
            </w:tcBorders>
            <w:shd w:val="pct37" w:color="C0C0C0" w:fill="auto"/>
            <w:vAlign w:val="center"/>
          </w:tcPr>
          <w:p w14:paraId="03C7B08A" w14:textId="77777777" w:rsidR="008B05CB" w:rsidRPr="00E22C1F" w:rsidRDefault="008B05CB" w:rsidP="00CE19C6">
            <w:pPr>
              <w:spacing w:before="40" w:after="40"/>
              <w:jc w:val="center"/>
              <w:rPr>
                <w:b/>
                <w:bCs/>
                <w:sz w:val="18"/>
                <w:szCs w:val="18"/>
              </w:rPr>
            </w:pPr>
            <w:r w:rsidRPr="00E22C1F">
              <w:rPr>
                <w:b/>
                <w:sz w:val="18"/>
                <w:szCs w:val="18"/>
              </w:rPr>
              <w:t>90% of Samples</w:t>
            </w:r>
            <w:r w:rsidRPr="00E22C1F">
              <w:rPr>
                <w:b/>
                <w:sz w:val="18"/>
                <w:szCs w:val="18"/>
              </w:rPr>
              <w:br/>
            </w:r>
            <w:r w:rsidRPr="00E22C1F">
              <w:rPr>
                <w:b/>
                <w:sz w:val="18"/>
                <w:szCs w:val="18"/>
                <w:u w:val="single"/>
              </w:rPr>
              <w:t>&lt;</w:t>
            </w:r>
            <w:r w:rsidRPr="00E22C1F">
              <w:rPr>
                <w:b/>
                <w:sz w:val="18"/>
                <w:szCs w:val="18"/>
              </w:rPr>
              <w:t xml:space="preserve"> This Level</w:t>
            </w:r>
          </w:p>
        </w:tc>
        <w:tc>
          <w:tcPr>
            <w:tcW w:w="1335" w:type="dxa"/>
            <w:gridSpan w:val="2"/>
            <w:tcBorders>
              <w:top w:val="single" w:sz="6" w:space="0" w:color="000000"/>
              <w:left w:val="single" w:sz="6" w:space="0" w:color="000000"/>
              <w:bottom w:val="single" w:sz="6" w:space="0" w:color="000000"/>
              <w:right w:val="single" w:sz="6" w:space="0" w:color="000000"/>
            </w:tcBorders>
            <w:shd w:val="pct37" w:color="C0C0C0" w:fill="auto"/>
            <w:vAlign w:val="center"/>
          </w:tcPr>
          <w:p w14:paraId="1ECC465F" w14:textId="77777777" w:rsidR="008B05CB" w:rsidRPr="008E54DD" w:rsidRDefault="008B05CB" w:rsidP="00CE19C6">
            <w:pPr>
              <w:spacing w:before="40" w:after="40"/>
              <w:jc w:val="center"/>
              <w:rPr>
                <w:b/>
                <w:bCs/>
                <w:sz w:val="18"/>
                <w:szCs w:val="18"/>
              </w:rPr>
            </w:pPr>
            <w:r>
              <w:rPr>
                <w:b/>
                <w:bCs/>
                <w:sz w:val="18"/>
                <w:szCs w:val="18"/>
              </w:rPr>
              <w:t xml:space="preserve">Year </w:t>
            </w:r>
            <w:r w:rsidRPr="008E54DD">
              <w:rPr>
                <w:b/>
                <w:bCs/>
                <w:sz w:val="18"/>
                <w:szCs w:val="18"/>
              </w:rPr>
              <w:t>Sample</w:t>
            </w:r>
            <w:r>
              <w:rPr>
                <w:b/>
                <w:bCs/>
                <w:sz w:val="18"/>
                <w:szCs w:val="18"/>
              </w:rPr>
              <w:t>d</w:t>
            </w:r>
          </w:p>
        </w:tc>
        <w:tc>
          <w:tcPr>
            <w:tcW w:w="1158" w:type="dxa"/>
            <w:gridSpan w:val="2"/>
            <w:tcBorders>
              <w:top w:val="single" w:sz="6" w:space="0" w:color="000000"/>
              <w:left w:val="single" w:sz="6" w:space="0" w:color="000000"/>
              <w:bottom w:val="single" w:sz="6" w:space="0" w:color="000000"/>
              <w:right w:val="single" w:sz="6" w:space="0" w:color="000000"/>
            </w:tcBorders>
            <w:shd w:val="pct37" w:color="C0C0C0" w:fill="auto"/>
            <w:vAlign w:val="center"/>
          </w:tcPr>
          <w:p w14:paraId="1DB472BF" w14:textId="77777777" w:rsidR="008B05CB" w:rsidRPr="008E54DD" w:rsidRDefault="008B05CB" w:rsidP="00CE19C6">
            <w:pPr>
              <w:spacing w:before="40" w:after="40"/>
              <w:jc w:val="center"/>
              <w:rPr>
                <w:b/>
                <w:bCs/>
                <w:sz w:val="18"/>
                <w:szCs w:val="18"/>
              </w:rPr>
            </w:pPr>
            <w:r w:rsidRPr="008E54DD">
              <w:rPr>
                <w:b/>
                <w:bCs/>
                <w:sz w:val="18"/>
                <w:szCs w:val="18"/>
              </w:rPr>
              <w:t>Number of Samples Above AL</w:t>
            </w:r>
          </w:p>
        </w:tc>
        <w:tc>
          <w:tcPr>
            <w:tcW w:w="3402" w:type="dxa"/>
            <w:gridSpan w:val="3"/>
            <w:tcBorders>
              <w:top w:val="single" w:sz="6" w:space="0" w:color="000000"/>
              <w:left w:val="single" w:sz="6" w:space="0" w:color="000000"/>
              <w:bottom w:val="single" w:sz="6" w:space="0" w:color="000000"/>
              <w:right w:val="single" w:sz="6" w:space="0" w:color="000000"/>
            </w:tcBorders>
            <w:shd w:val="pct37" w:color="C0C0C0" w:fill="auto"/>
            <w:vAlign w:val="center"/>
          </w:tcPr>
          <w:p w14:paraId="2EA2C0C3" w14:textId="77777777" w:rsidR="008B05CB" w:rsidRPr="008E54DD" w:rsidRDefault="008B05CB" w:rsidP="00CE19C6">
            <w:pPr>
              <w:spacing w:before="40" w:after="40"/>
              <w:jc w:val="center"/>
              <w:rPr>
                <w:b/>
                <w:bCs/>
                <w:sz w:val="18"/>
                <w:szCs w:val="18"/>
              </w:rPr>
            </w:pPr>
            <w:r w:rsidRPr="008E54DD">
              <w:rPr>
                <w:b/>
                <w:bCs/>
                <w:sz w:val="18"/>
                <w:szCs w:val="18"/>
              </w:rPr>
              <w:t>Typical Source of Contaminant</w:t>
            </w:r>
          </w:p>
        </w:tc>
      </w:tr>
      <w:tr w:rsidR="008B05CB" w:rsidRPr="008E54DD" w14:paraId="549C4D62" w14:textId="77777777" w:rsidTr="00C3319A">
        <w:tblPrEx>
          <w:tblBorders>
            <w:top w:val="none" w:sz="0" w:space="0" w:color="auto"/>
            <w:bottom w:val="none" w:sz="0" w:space="0" w:color="auto"/>
          </w:tblBorders>
          <w:tblCellMar>
            <w:top w:w="0" w:type="dxa"/>
            <w:bottom w:w="0" w:type="dxa"/>
          </w:tblCellMar>
        </w:tblPrEx>
        <w:trPr>
          <w:gridBefore w:val="1"/>
          <w:wBefore w:w="6" w:type="dxa"/>
          <w:cantSplit/>
        </w:trPr>
        <w:tc>
          <w:tcPr>
            <w:tcW w:w="1690" w:type="dxa"/>
            <w:gridSpan w:val="2"/>
            <w:tcBorders>
              <w:top w:val="single" w:sz="6" w:space="0" w:color="000000"/>
              <w:left w:val="single" w:sz="6" w:space="0" w:color="000000"/>
              <w:bottom w:val="single" w:sz="6" w:space="0" w:color="000000"/>
              <w:right w:val="single" w:sz="6" w:space="0" w:color="000000"/>
            </w:tcBorders>
            <w:vAlign w:val="center"/>
          </w:tcPr>
          <w:p w14:paraId="393A81B5" w14:textId="77777777" w:rsidR="008B05CB" w:rsidRPr="008E54DD" w:rsidRDefault="008B05CB" w:rsidP="00CE19C6">
            <w:pPr>
              <w:spacing w:before="60" w:after="60"/>
              <w:jc w:val="center"/>
              <w:rPr>
                <w:sz w:val="18"/>
                <w:szCs w:val="18"/>
              </w:rPr>
            </w:pPr>
            <w:r w:rsidRPr="008E54DD">
              <w:rPr>
                <w:sz w:val="18"/>
                <w:szCs w:val="18"/>
              </w:rPr>
              <w:t>Lead (ppb)</w:t>
            </w:r>
            <w:r>
              <w:rPr>
                <w:sz w:val="18"/>
                <w:szCs w:val="18"/>
              </w:rPr>
              <w:t>***</w:t>
            </w:r>
          </w:p>
        </w:tc>
        <w:tc>
          <w:tcPr>
            <w:tcW w:w="802" w:type="dxa"/>
            <w:tcBorders>
              <w:top w:val="single" w:sz="6" w:space="0" w:color="000000"/>
              <w:left w:val="single" w:sz="6" w:space="0" w:color="000000"/>
              <w:bottom w:val="single" w:sz="6" w:space="0" w:color="000000"/>
              <w:right w:val="single" w:sz="6" w:space="0" w:color="000000"/>
            </w:tcBorders>
            <w:shd w:val="clear" w:color="C0C0C0" w:fill="auto"/>
            <w:vAlign w:val="center"/>
          </w:tcPr>
          <w:p w14:paraId="148EDE77" w14:textId="77777777" w:rsidR="008B05CB" w:rsidRPr="008E54DD" w:rsidRDefault="008B05CB" w:rsidP="00CE19C6">
            <w:pPr>
              <w:spacing w:before="40" w:after="40"/>
              <w:jc w:val="center"/>
              <w:rPr>
                <w:sz w:val="18"/>
                <w:szCs w:val="18"/>
              </w:rPr>
            </w:pPr>
            <w:r w:rsidRPr="008E54DD">
              <w:rPr>
                <w:sz w:val="18"/>
                <w:szCs w:val="18"/>
              </w:rPr>
              <w:t>15</w:t>
            </w:r>
          </w:p>
        </w:tc>
        <w:tc>
          <w:tcPr>
            <w:tcW w:w="802" w:type="dxa"/>
            <w:tcBorders>
              <w:top w:val="single" w:sz="6" w:space="0" w:color="000000"/>
              <w:left w:val="single" w:sz="6" w:space="0" w:color="000000"/>
              <w:bottom w:val="single" w:sz="6" w:space="0" w:color="000000"/>
              <w:right w:val="single" w:sz="6" w:space="0" w:color="000000"/>
            </w:tcBorders>
            <w:vAlign w:val="center"/>
          </w:tcPr>
          <w:p w14:paraId="47F92950" w14:textId="77777777" w:rsidR="008B05CB" w:rsidRPr="008E54DD" w:rsidRDefault="008B05CB" w:rsidP="00CE19C6">
            <w:pPr>
              <w:spacing w:before="40" w:after="40"/>
              <w:jc w:val="center"/>
              <w:rPr>
                <w:sz w:val="18"/>
                <w:szCs w:val="18"/>
              </w:rPr>
            </w:pPr>
            <w:r>
              <w:rPr>
                <w:sz w:val="18"/>
                <w:szCs w:val="18"/>
              </w:rPr>
              <w:t>0</w:t>
            </w:r>
          </w:p>
        </w:tc>
        <w:tc>
          <w:tcPr>
            <w:tcW w:w="1335" w:type="dxa"/>
            <w:gridSpan w:val="2"/>
            <w:tcBorders>
              <w:top w:val="single" w:sz="6" w:space="0" w:color="000000"/>
              <w:left w:val="single" w:sz="6" w:space="0" w:color="000000"/>
              <w:bottom w:val="single" w:sz="6" w:space="0" w:color="000000"/>
              <w:right w:val="single" w:sz="6" w:space="0" w:color="000000"/>
            </w:tcBorders>
            <w:vAlign w:val="center"/>
          </w:tcPr>
          <w:p w14:paraId="3CB2B0BD" w14:textId="66EB4084" w:rsidR="008B05CB" w:rsidRPr="008E54DD" w:rsidRDefault="006D0B5F" w:rsidP="00CE19C6">
            <w:pPr>
              <w:spacing w:before="40" w:after="40"/>
              <w:jc w:val="center"/>
              <w:rPr>
                <w:sz w:val="18"/>
                <w:szCs w:val="18"/>
              </w:rPr>
            </w:pPr>
            <w:r>
              <w:rPr>
                <w:sz w:val="18"/>
                <w:szCs w:val="18"/>
              </w:rPr>
              <w:t>0</w:t>
            </w:r>
          </w:p>
        </w:tc>
        <w:tc>
          <w:tcPr>
            <w:tcW w:w="1335" w:type="dxa"/>
            <w:gridSpan w:val="2"/>
            <w:tcBorders>
              <w:top w:val="single" w:sz="6" w:space="0" w:color="000000"/>
              <w:left w:val="single" w:sz="6" w:space="0" w:color="000000"/>
              <w:bottom w:val="single" w:sz="6" w:space="0" w:color="000000"/>
              <w:right w:val="single" w:sz="6" w:space="0" w:color="000000"/>
            </w:tcBorders>
            <w:vAlign w:val="center"/>
          </w:tcPr>
          <w:p w14:paraId="2E3311DC" w14:textId="22C56E22" w:rsidR="008B05CB" w:rsidRPr="008E54DD" w:rsidRDefault="00703B88" w:rsidP="00CE19C6">
            <w:pPr>
              <w:spacing w:before="40" w:after="40"/>
              <w:jc w:val="center"/>
              <w:rPr>
                <w:sz w:val="18"/>
                <w:szCs w:val="18"/>
              </w:rPr>
            </w:pPr>
            <w:r>
              <w:rPr>
                <w:sz w:val="18"/>
                <w:szCs w:val="18"/>
              </w:rPr>
              <w:t>2015</w:t>
            </w:r>
          </w:p>
        </w:tc>
        <w:tc>
          <w:tcPr>
            <w:tcW w:w="1158" w:type="dxa"/>
            <w:gridSpan w:val="2"/>
            <w:tcBorders>
              <w:top w:val="single" w:sz="6" w:space="0" w:color="000000"/>
              <w:left w:val="single" w:sz="6" w:space="0" w:color="000000"/>
              <w:bottom w:val="single" w:sz="6" w:space="0" w:color="000000"/>
              <w:right w:val="single" w:sz="6" w:space="0" w:color="000000"/>
            </w:tcBorders>
            <w:vAlign w:val="center"/>
          </w:tcPr>
          <w:p w14:paraId="7840FE88" w14:textId="36BF4B06" w:rsidR="008B05CB" w:rsidRPr="008E54DD" w:rsidRDefault="00703B88" w:rsidP="00CE19C6">
            <w:pPr>
              <w:spacing w:before="40" w:after="40"/>
              <w:jc w:val="center"/>
              <w:rPr>
                <w:sz w:val="18"/>
                <w:szCs w:val="18"/>
              </w:rPr>
            </w:pPr>
            <w:r>
              <w:rPr>
                <w:sz w:val="18"/>
                <w:szCs w:val="18"/>
              </w:rPr>
              <w:t>0</w:t>
            </w:r>
          </w:p>
        </w:tc>
        <w:tc>
          <w:tcPr>
            <w:tcW w:w="3402" w:type="dxa"/>
            <w:gridSpan w:val="3"/>
            <w:tcBorders>
              <w:top w:val="single" w:sz="6" w:space="0" w:color="000000"/>
              <w:left w:val="single" w:sz="6" w:space="0" w:color="000000"/>
              <w:bottom w:val="single" w:sz="6" w:space="0" w:color="000000"/>
              <w:right w:val="single" w:sz="6" w:space="0" w:color="000000"/>
            </w:tcBorders>
            <w:vAlign w:val="center"/>
          </w:tcPr>
          <w:p w14:paraId="7071B0E6" w14:textId="77777777" w:rsidR="008B05CB" w:rsidRPr="008E54DD" w:rsidRDefault="008B05CB" w:rsidP="00CE19C6">
            <w:pPr>
              <w:spacing w:before="40" w:after="40"/>
              <w:jc w:val="center"/>
              <w:rPr>
                <w:sz w:val="16"/>
                <w:szCs w:val="16"/>
              </w:rPr>
            </w:pPr>
            <w:r w:rsidRPr="008E54DD">
              <w:rPr>
                <w:sz w:val="16"/>
                <w:szCs w:val="16"/>
              </w:rPr>
              <w:t>Corrosion of household plumbing systems; Erosion of natural deposits</w:t>
            </w:r>
          </w:p>
        </w:tc>
      </w:tr>
      <w:tr w:rsidR="008B05CB" w:rsidRPr="008E54DD" w14:paraId="77B96984" w14:textId="77777777" w:rsidTr="00C3319A">
        <w:tblPrEx>
          <w:tblBorders>
            <w:top w:val="none" w:sz="0" w:space="0" w:color="auto"/>
            <w:bottom w:val="none" w:sz="0" w:space="0" w:color="auto"/>
          </w:tblBorders>
          <w:tblCellMar>
            <w:top w:w="0" w:type="dxa"/>
            <w:bottom w:w="0" w:type="dxa"/>
          </w:tblCellMar>
        </w:tblPrEx>
        <w:trPr>
          <w:gridBefore w:val="1"/>
          <w:wBefore w:w="6" w:type="dxa"/>
          <w:cantSplit/>
        </w:trPr>
        <w:tc>
          <w:tcPr>
            <w:tcW w:w="1690" w:type="dxa"/>
            <w:gridSpan w:val="2"/>
            <w:tcBorders>
              <w:top w:val="single" w:sz="6" w:space="0" w:color="000000"/>
              <w:left w:val="single" w:sz="6" w:space="0" w:color="000000"/>
              <w:bottom w:val="single" w:sz="6" w:space="0" w:color="000000"/>
              <w:right w:val="single" w:sz="6" w:space="0" w:color="000000"/>
            </w:tcBorders>
            <w:vAlign w:val="center"/>
          </w:tcPr>
          <w:p w14:paraId="0B517CC0" w14:textId="77777777" w:rsidR="008B05CB" w:rsidRPr="008E54DD" w:rsidRDefault="008B05CB" w:rsidP="00CE19C6">
            <w:pPr>
              <w:spacing w:before="60" w:after="60"/>
              <w:jc w:val="center"/>
              <w:rPr>
                <w:sz w:val="18"/>
                <w:szCs w:val="18"/>
              </w:rPr>
            </w:pPr>
            <w:r w:rsidRPr="008E54DD">
              <w:rPr>
                <w:sz w:val="18"/>
                <w:szCs w:val="18"/>
              </w:rPr>
              <w:t>Copper (ppm)</w:t>
            </w:r>
          </w:p>
        </w:tc>
        <w:tc>
          <w:tcPr>
            <w:tcW w:w="802" w:type="dxa"/>
            <w:tcBorders>
              <w:top w:val="single" w:sz="6" w:space="0" w:color="000000"/>
              <w:left w:val="single" w:sz="6" w:space="0" w:color="000000"/>
              <w:bottom w:val="single" w:sz="6" w:space="0" w:color="000000"/>
              <w:right w:val="single" w:sz="6" w:space="0" w:color="000000"/>
            </w:tcBorders>
            <w:shd w:val="clear" w:color="C0C0C0" w:fill="auto"/>
            <w:vAlign w:val="center"/>
          </w:tcPr>
          <w:p w14:paraId="502B848D" w14:textId="77777777" w:rsidR="008B05CB" w:rsidRPr="008E54DD" w:rsidRDefault="008B05CB" w:rsidP="00CE19C6">
            <w:pPr>
              <w:spacing w:before="40" w:after="40"/>
              <w:jc w:val="center"/>
              <w:rPr>
                <w:sz w:val="18"/>
                <w:szCs w:val="18"/>
              </w:rPr>
            </w:pPr>
            <w:r w:rsidRPr="008E54DD">
              <w:rPr>
                <w:sz w:val="18"/>
                <w:szCs w:val="18"/>
              </w:rPr>
              <w:t>1.3</w:t>
            </w:r>
          </w:p>
        </w:tc>
        <w:tc>
          <w:tcPr>
            <w:tcW w:w="802" w:type="dxa"/>
            <w:tcBorders>
              <w:top w:val="single" w:sz="6" w:space="0" w:color="000000"/>
              <w:left w:val="single" w:sz="6" w:space="0" w:color="000000"/>
              <w:bottom w:val="single" w:sz="6" w:space="0" w:color="000000"/>
              <w:right w:val="single" w:sz="6" w:space="0" w:color="000000"/>
            </w:tcBorders>
            <w:vAlign w:val="center"/>
          </w:tcPr>
          <w:p w14:paraId="3088F4E8" w14:textId="77777777" w:rsidR="008B05CB" w:rsidRPr="008E54DD" w:rsidRDefault="008B05CB" w:rsidP="00CE19C6">
            <w:pPr>
              <w:spacing w:before="40" w:after="40"/>
              <w:jc w:val="center"/>
              <w:rPr>
                <w:sz w:val="18"/>
                <w:szCs w:val="18"/>
              </w:rPr>
            </w:pPr>
            <w:r>
              <w:rPr>
                <w:sz w:val="18"/>
                <w:szCs w:val="18"/>
              </w:rPr>
              <w:t>1.3</w:t>
            </w:r>
          </w:p>
        </w:tc>
        <w:tc>
          <w:tcPr>
            <w:tcW w:w="1335" w:type="dxa"/>
            <w:gridSpan w:val="2"/>
            <w:tcBorders>
              <w:top w:val="single" w:sz="6" w:space="0" w:color="000000"/>
              <w:left w:val="single" w:sz="6" w:space="0" w:color="000000"/>
              <w:bottom w:val="single" w:sz="6" w:space="0" w:color="000000"/>
              <w:right w:val="single" w:sz="6" w:space="0" w:color="000000"/>
            </w:tcBorders>
            <w:vAlign w:val="center"/>
          </w:tcPr>
          <w:p w14:paraId="11284066" w14:textId="23E9A254" w:rsidR="008B05CB" w:rsidRPr="008E54DD" w:rsidRDefault="00703B88" w:rsidP="00CE19C6">
            <w:pPr>
              <w:spacing w:before="40" w:after="40"/>
              <w:jc w:val="center"/>
              <w:rPr>
                <w:sz w:val="18"/>
                <w:szCs w:val="18"/>
              </w:rPr>
            </w:pPr>
            <w:r>
              <w:rPr>
                <w:sz w:val="18"/>
                <w:szCs w:val="18"/>
              </w:rPr>
              <w:t>0</w:t>
            </w:r>
          </w:p>
        </w:tc>
        <w:tc>
          <w:tcPr>
            <w:tcW w:w="1335" w:type="dxa"/>
            <w:gridSpan w:val="2"/>
            <w:tcBorders>
              <w:top w:val="single" w:sz="6" w:space="0" w:color="000000"/>
              <w:left w:val="single" w:sz="6" w:space="0" w:color="000000"/>
              <w:bottom w:val="single" w:sz="6" w:space="0" w:color="000000"/>
              <w:right w:val="single" w:sz="6" w:space="0" w:color="000000"/>
            </w:tcBorders>
            <w:vAlign w:val="center"/>
          </w:tcPr>
          <w:p w14:paraId="503B53E8" w14:textId="0B1EC6DA" w:rsidR="008B05CB" w:rsidRPr="008E54DD" w:rsidRDefault="00703B88" w:rsidP="00CE19C6">
            <w:pPr>
              <w:spacing w:before="40" w:after="40"/>
              <w:jc w:val="center"/>
              <w:rPr>
                <w:sz w:val="18"/>
                <w:szCs w:val="18"/>
              </w:rPr>
            </w:pPr>
            <w:r>
              <w:rPr>
                <w:sz w:val="18"/>
                <w:szCs w:val="18"/>
              </w:rPr>
              <w:t>2015</w:t>
            </w:r>
            <w:bookmarkStart w:id="0" w:name="_GoBack"/>
            <w:bookmarkEnd w:id="0"/>
          </w:p>
        </w:tc>
        <w:tc>
          <w:tcPr>
            <w:tcW w:w="1158" w:type="dxa"/>
            <w:gridSpan w:val="2"/>
            <w:tcBorders>
              <w:top w:val="single" w:sz="6" w:space="0" w:color="000000"/>
              <w:left w:val="single" w:sz="6" w:space="0" w:color="000000"/>
              <w:bottom w:val="single" w:sz="6" w:space="0" w:color="000000"/>
              <w:right w:val="single" w:sz="6" w:space="0" w:color="000000"/>
            </w:tcBorders>
            <w:vAlign w:val="center"/>
          </w:tcPr>
          <w:p w14:paraId="0F0ED6BB" w14:textId="63ADF700" w:rsidR="008B05CB" w:rsidRPr="008E54DD" w:rsidRDefault="00703B88" w:rsidP="00CE19C6">
            <w:pPr>
              <w:spacing w:before="40" w:after="40"/>
              <w:jc w:val="center"/>
              <w:rPr>
                <w:sz w:val="18"/>
                <w:szCs w:val="18"/>
              </w:rPr>
            </w:pPr>
            <w:r>
              <w:rPr>
                <w:sz w:val="18"/>
                <w:szCs w:val="18"/>
              </w:rPr>
              <w:t>0</w:t>
            </w:r>
          </w:p>
        </w:tc>
        <w:tc>
          <w:tcPr>
            <w:tcW w:w="3402" w:type="dxa"/>
            <w:gridSpan w:val="3"/>
            <w:tcBorders>
              <w:top w:val="single" w:sz="6" w:space="0" w:color="000000"/>
              <w:left w:val="single" w:sz="6" w:space="0" w:color="000000"/>
              <w:bottom w:val="single" w:sz="6" w:space="0" w:color="000000"/>
              <w:right w:val="single" w:sz="6" w:space="0" w:color="000000"/>
            </w:tcBorders>
            <w:vAlign w:val="center"/>
          </w:tcPr>
          <w:p w14:paraId="4750898B" w14:textId="77777777" w:rsidR="008B05CB" w:rsidRPr="008E54DD" w:rsidRDefault="008B05CB" w:rsidP="00CE19C6">
            <w:pPr>
              <w:spacing w:before="40" w:after="40"/>
              <w:jc w:val="center"/>
              <w:rPr>
                <w:sz w:val="16"/>
                <w:szCs w:val="16"/>
              </w:rPr>
            </w:pPr>
            <w:r w:rsidRPr="008E54DD">
              <w:rPr>
                <w:sz w:val="16"/>
                <w:szCs w:val="16"/>
              </w:rPr>
              <w:t>Corrosion of household plumbing systems; Erosion of natural deposits; Leaching from wood preservatives</w:t>
            </w:r>
          </w:p>
        </w:tc>
      </w:tr>
      <w:tr w:rsidR="008B05CB" w14:paraId="162AF729" w14:textId="77777777" w:rsidTr="00C3319A">
        <w:tblPrEx>
          <w:tblCellMar>
            <w:top w:w="0" w:type="dxa"/>
            <w:bottom w:w="0" w:type="dxa"/>
          </w:tblCellMar>
        </w:tblPrEx>
        <w:trPr>
          <w:gridBefore w:val="1"/>
          <w:wBefore w:w="6" w:type="dxa"/>
          <w:cantSplit/>
        </w:trPr>
        <w:tc>
          <w:tcPr>
            <w:tcW w:w="3294" w:type="dxa"/>
            <w:gridSpan w:val="4"/>
            <w:tcBorders>
              <w:top w:val="single" w:sz="6" w:space="0" w:color="000000"/>
              <w:left w:val="single" w:sz="6" w:space="0" w:color="000000"/>
              <w:bottom w:val="single" w:sz="6" w:space="0" w:color="000000"/>
            </w:tcBorders>
            <w:shd w:val="pct37" w:color="C0C0C0" w:fill="auto"/>
            <w:vAlign w:val="center"/>
          </w:tcPr>
          <w:p w14:paraId="1F11ECDC" w14:textId="77777777" w:rsidR="008B05CB" w:rsidRDefault="008B05CB" w:rsidP="00CE19C6">
            <w:pPr>
              <w:pStyle w:val="Heading4"/>
              <w:rPr>
                <w:sz w:val="18"/>
              </w:rPr>
            </w:pPr>
            <w:r>
              <w:rPr>
                <w:sz w:val="18"/>
              </w:rPr>
              <w:lastRenderedPageBreak/>
              <w:t>Special Monitoring and</w:t>
            </w:r>
            <w:r>
              <w:rPr>
                <w:sz w:val="18"/>
              </w:rPr>
              <w:br/>
              <w:t>Unregulated Contaminant **</w:t>
            </w:r>
          </w:p>
        </w:tc>
        <w:tc>
          <w:tcPr>
            <w:tcW w:w="1335" w:type="dxa"/>
            <w:gridSpan w:val="2"/>
            <w:tcBorders>
              <w:top w:val="single" w:sz="6" w:space="0" w:color="000000"/>
              <w:bottom w:val="single" w:sz="6" w:space="0" w:color="000000"/>
            </w:tcBorders>
            <w:shd w:val="pct37" w:color="C0C0C0" w:fill="auto"/>
            <w:vAlign w:val="center"/>
          </w:tcPr>
          <w:p w14:paraId="0DB869CC" w14:textId="77777777" w:rsidR="008B05CB" w:rsidRDefault="008B05CB" w:rsidP="00CE19C6">
            <w:pPr>
              <w:pStyle w:val="Heading5"/>
              <w:spacing w:before="40" w:after="40"/>
              <w:rPr>
                <w:sz w:val="12"/>
              </w:rPr>
            </w:pPr>
            <w:r>
              <w:t>Level Detected</w:t>
            </w:r>
          </w:p>
        </w:tc>
        <w:tc>
          <w:tcPr>
            <w:tcW w:w="1335" w:type="dxa"/>
            <w:gridSpan w:val="2"/>
            <w:tcBorders>
              <w:top w:val="single" w:sz="6" w:space="0" w:color="000000"/>
              <w:bottom w:val="single" w:sz="6" w:space="0" w:color="000000"/>
            </w:tcBorders>
            <w:shd w:val="pct37" w:color="C0C0C0" w:fill="auto"/>
            <w:vAlign w:val="center"/>
          </w:tcPr>
          <w:p w14:paraId="76BF8196" w14:textId="77777777" w:rsidR="008B05CB" w:rsidRDefault="008B05CB" w:rsidP="00CE19C6">
            <w:pPr>
              <w:spacing w:before="40" w:after="40"/>
              <w:jc w:val="center"/>
              <w:rPr>
                <w:b/>
                <w:sz w:val="18"/>
              </w:rPr>
            </w:pPr>
            <w:r>
              <w:rPr>
                <w:b/>
                <w:sz w:val="18"/>
              </w:rPr>
              <w:t>Year Sampled</w:t>
            </w:r>
          </w:p>
        </w:tc>
        <w:tc>
          <w:tcPr>
            <w:tcW w:w="4560" w:type="dxa"/>
            <w:gridSpan w:val="5"/>
            <w:tcBorders>
              <w:top w:val="single" w:sz="6" w:space="0" w:color="000000"/>
              <w:bottom w:val="single" w:sz="6" w:space="0" w:color="000000"/>
              <w:right w:val="single" w:sz="6" w:space="0" w:color="000000"/>
            </w:tcBorders>
            <w:shd w:val="pct37" w:color="C0C0C0" w:fill="auto"/>
            <w:vAlign w:val="center"/>
          </w:tcPr>
          <w:p w14:paraId="2BDB4676" w14:textId="77777777" w:rsidR="008B05CB" w:rsidRDefault="008B05CB" w:rsidP="00CE19C6">
            <w:pPr>
              <w:spacing w:before="40" w:after="40"/>
              <w:jc w:val="center"/>
              <w:rPr>
                <w:b/>
                <w:sz w:val="18"/>
              </w:rPr>
            </w:pPr>
            <w:r>
              <w:rPr>
                <w:b/>
                <w:sz w:val="18"/>
              </w:rPr>
              <w:t>Comments</w:t>
            </w:r>
          </w:p>
        </w:tc>
      </w:tr>
      <w:tr w:rsidR="008B05CB" w14:paraId="46BAD802" w14:textId="77777777" w:rsidTr="00C3319A">
        <w:tblPrEx>
          <w:tblCellMar>
            <w:top w:w="0" w:type="dxa"/>
            <w:bottom w:w="0" w:type="dxa"/>
          </w:tblCellMar>
        </w:tblPrEx>
        <w:trPr>
          <w:gridBefore w:val="1"/>
          <w:wBefore w:w="6" w:type="dxa"/>
          <w:cantSplit/>
        </w:trPr>
        <w:tc>
          <w:tcPr>
            <w:tcW w:w="3294" w:type="dxa"/>
            <w:gridSpan w:val="4"/>
            <w:tcBorders>
              <w:top w:val="single" w:sz="6" w:space="0" w:color="000000"/>
              <w:left w:val="single" w:sz="6" w:space="0" w:color="000000"/>
              <w:bottom w:val="single" w:sz="6" w:space="0" w:color="000000"/>
            </w:tcBorders>
            <w:vAlign w:val="center"/>
          </w:tcPr>
          <w:p w14:paraId="09588EA7" w14:textId="77777777" w:rsidR="008B05CB" w:rsidRDefault="008B05CB" w:rsidP="00CE19C6">
            <w:pPr>
              <w:spacing w:before="40" w:after="40"/>
              <w:jc w:val="center"/>
              <w:rPr>
                <w:sz w:val="18"/>
              </w:rPr>
            </w:pPr>
            <w:r>
              <w:rPr>
                <w:sz w:val="18"/>
              </w:rPr>
              <w:t>Sodium (ppm)</w:t>
            </w:r>
          </w:p>
        </w:tc>
        <w:tc>
          <w:tcPr>
            <w:tcW w:w="1335" w:type="dxa"/>
            <w:gridSpan w:val="2"/>
            <w:tcBorders>
              <w:top w:val="single" w:sz="6" w:space="0" w:color="000000"/>
              <w:bottom w:val="single" w:sz="6" w:space="0" w:color="000000"/>
            </w:tcBorders>
            <w:vAlign w:val="center"/>
          </w:tcPr>
          <w:p w14:paraId="25655D55" w14:textId="42793A44" w:rsidR="008B05CB" w:rsidRDefault="00C3319A" w:rsidP="00CE19C6">
            <w:pPr>
              <w:spacing w:before="40" w:after="40"/>
              <w:jc w:val="center"/>
              <w:rPr>
                <w:sz w:val="18"/>
              </w:rPr>
            </w:pPr>
            <w:r>
              <w:rPr>
                <w:sz w:val="18"/>
              </w:rPr>
              <w:t>24</w:t>
            </w:r>
          </w:p>
        </w:tc>
        <w:tc>
          <w:tcPr>
            <w:tcW w:w="1335" w:type="dxa"/>
            <w:gridSpan w:val="2"/>
            <w:tcBorders>
              <w:top w:val="single" w:sz="6" w:space="0" w:color="000000"/>
              <w:bottom w:val="single" w:sz="6" w:space="0" w:color="000000"/>
            </w:tcBorders>
            <w:vAlign w:val="center"/>
          </w:tcPr>
          <w:p w14:paraId="3CBA565A" w14:textId="3FBD07F0" w:rsidR="008B05CB" w:rsidRDefault="00C3319A" w:rsidP="00CE19C6">
            <w:pPr>
              <w:spacing w:before="40" w:after="40"/>
              <w:jc w:val="center"/>
              <w:rPr>
                <w:sz w:val="18"/>
              </w:rPr>
            </w:pPr>
            <w:r>
              <w:rPr>
                <w:sz w:val="18"/>
              </w:rPr>
              <w:t>2015</w:t>
            </w:r>
          </w:p>
        </w:tc>
        <w:tc>
          <w:tcPr>
            <w:tcW w:w="4560" w:type="dxa"/>
            <w:gridSpan w:val="5"/>
            <w:tcBorders>
              <w:top w:val="single" w:sz="6" w:space="0" w:color="000000"/>
              <w:bottom w:val="single" w:sz="6" w:space="0" w:color="000000"/>
              <w:right w:val="single" w:sz="6" w:space="0" w:color="000000"/>
            </w:tcBorders>
            <w:vAlign w:val="center"/>
          </w:tcPr>
          <w:p w14:paraId="538F97AE" w14:textId="77777777" w:rsidR="008B05CB" w:rsidRDefault="008B05CB" w:rsidP="00CE19C6">
            <w:pPr>
              <w:spacing w:before="40" w:after="40"/>
              <w:jc w:val="center"/>
              <w:rPr>
                <w:sz w:val="16"/>
              </w:rPr>
            </w:pPr>
            <w:r>
              <w:rPr>
                <w:sz w:val="16"/>
              </w:rPr>
              <w:t>Typical source is erosion of natural deposits</w:t>
            </w:r>
          </w:p>
        </w:tc>
      </w:tr>
      <w:tr w:rsidR="00C3319A" w14:paraId="7B53712D" w14:textId="77777777" w:rsidTr="00C3319A">
        <w:tblPrEx>
          <w:tblCellMar>
            <w:top w:w="0" w:type="dxa"/>
            <w:bottom w:w="0" w:type="dxa"/>
          </w:tblCellMar>
        </w:tblPrEx>
        <w:trPr>
          <w:gridBefore w:val="1"/>
          <w:wBefore w:w="6" w:type="dxa"/>
          <w:cantSplit/>
        </w:trPr>
        <w:tc>
          <w:tcPr>
            <w:tcW w:w="3294" w:type="dxa"/>
            <w:gridSpan w:val="4"/>
            <w:tcBorders>
              <w:top w:val="single" w:sz="6" w:space="0" w:color="000000"/>
              <w:left w:val="single" w:sz="6" w:space="0" w:color="000000"/>
              <w:bottom w:val="single" w:sz="6" w:space="0" w:color="000000"/>
            </w:tcBorders>
            <w:vAlign w:val="center"/>
          </w:tcPr>
          <w:p w14:paraId="0B207669" w14:textId="068C9C1B" w:rsidR="00C3319A" w:rsidRDefault="00C3319A" w:rsidP="00CE19C6">
            <w:pPr>
              <w:spacing w:before="40" w:after="40"/>
              <w:jc w:val="center"/>
              <w:rPr>
                <w:sz w:val="18"/>
              </w:rPr>
            </w:pPr>
            <w:r>
              <w:rPr>
                <w:sz w:val="18"/>
              </w:rPr>
              <w:t>Hardness as CaCO3</w:t>
            </w:r>
          </w:p>
        </w:tc>
        <w:tc>
          <w:tcPr>
            <w:tcW w:w="1335" w:type="dxa"/>
            <w:gridSpan w:val="2"/>
            <w:tcBorders>
              <w:top w:val="single" w:sz="6" w:space="0" w:color="000000"/>
              <w:bottom w:val="single" w:sz="6" w:space="0" w:color="000000"/>
            </w:tcBorders>
            <w:vAlign w:val="center"/>
          </w:tcPr>
          <w:p w14:paraId="776B3F61" w14:textId="5B4D703A" w:rsidR="00C3319A" w:rsidRDefault="00C3319A" w:rsidP="00CE19C6">
            <w:pPr>
              <w:spacing w:before="40" w:after="40"/>
              <w:jc w:val="center"/>
              <w:rPr>
                <w:sz w:val="18"/>
              </w:rPr>
            </w:pPr>
            <w:r>
              <w:rPr>
                <w:sz w:val="18"/>
              </w:rPr>
              <w:t>248</w:t>
            </w:r>
          </w:p>
        </w:tc>
        <w:tc>
          <w:tcPr>
            <w:tcW w:w="1335" w:type="dxa"/>
            <w:gridSpan w:val="2"/>
            <w:tcBorders>
              <w:top w:val="single" w:sz="6" w:space="0" w:color="000000"/>
              <w:bottom w:val="single" w:sz="6" w:space="0" w:color="000000"/>
            </w:tcBorders>
            <w:vAlign w:val="center"/>
          </w:tcPr>
          <w:p w14:paraId="686B7701" w14:textId="44D758A8" w:rsidR="00C3319A" w:rsidRDefault="00C3319A" w:rsidP="00CE19C6">
            <w:pPr>
              <w:spacing w:before="40" w:after="40"/>
              <w:jc w:val="center"/>
              <w:rPr>
                <w:sz w:val="18"/>
              </w:rPr>
            </w:pPr>
            <w:r>
              <w:rPr>
                <w:sz w:val="18"/>
              </w:rPr>
              <w:t>2015</w:t>
            </w:r>
          </w:p>
        </w:tc>
        <w:tc>
          <w:tcPr>
            <w:tcW w:w="4560" w:type="dxa"/>
            <w:gridSpan w:val="5"/>
            <w:tcBorders>
              <w:top w:val="single" w:sz="6" w:space="0" w:color="000000"/>
              <w:bottom w:val="single" w:sz="6" w:space="0" w:color="000000"/>
              <w:right w:val="single" w:sz="6" w:space="0" w:color="000000"/>
            </w:tcBorders>
            <w:vAlign w:val="center"/>
          </w:tcPr>
          <w:p w14:paraId="7DC14A7C" w14:textId="01799975" w:rsidR="00C3319A" w:rsidRDefault="00C3319A" w:rsidP="00CE19C6">
            <w:pPr>
              <w:spacing w:before="40" w:after="40"/>
              <w:jc w:val="center"/>
              <w:rPr>
                <w:sz w:val="16"/>
              </w:rPr>
            </w:pPr>
            <w:r>
              <w:rPr>
                <w:sz w:val="16"/>
              </w:rPr>
              <w:t>Typical source is erosion of natural deposits</w:t>
            </w:r>
          </w:p>
        </w:tc>
      </w:tr>
      <w:tr w:rsidR="008B05CB" w14:paraId="061C601E" w14:textId="77777777" w:rsidTr="00C3319A">
        <w:tblPrEx>
          <w:tblCellMar>
            <w:top w:w="0" w:type="dxa"/>
            <w:bottom w:w="0" w:type="dxa"/>
          </w:tblCellMar>
        </w:tblPrEx>
        <w:trPr>
          <w:gridBefore w:val="1"/>
          <w:wBefore w:w="6" w:type="dxa"/>
          <w:cantSplit/>
        </w:trPr>
        <w:tc>
          <w:tcPr>
            <w:tcW w:w="3294" w:type="dxa"/>
            <w:gridSpan w:val="4"/>
            <w:tcBorders>
              <w:top w:val="single" w:sz="6" w:space="0" w:color="000000"/>
              <w:left w:val="single" w:sz="6" w:space="0" w:color="000000"/>
              <w:bottom w:val="single" w:sz="4" w:space="0" w:color="auto"/>
            </w:tcBorders>
            <w:vAlign w:val="center"/>
          </w:tcPr>
          <w:p w14:paraId="08FDB0DA" w14:textId="0DAE9304" w:rsidR="008B05CB" w:rsidRDefault="00C3319A" w:rsidP="00C3319A">
            <w:pPr>
              <w:spacing w:before="40" w:after="40"/>
              <w:jc w:val="center"/>
              <w:rPr>
                <w:sz w:val="18"/>
                <w:szCs w:val="18"/>
              </w:rPr>
            </w:pPr>
            <w:r>
              <w:rPr>
                <w:sz w:val="18"/>
                <w:szCs w:val="18"/>
              </w:rPr>
              <w:t>Chloride (ppm)</w:t>
            </w:r>
          </w:p>
        </w:tc>
        <w:tc>
          <w:tcPr>
            <w:tcW w:w="1335" w:type="dxa"/>
            <w:gridSpan w:val="2"/>
            <w:tcBorders>
              <w:top w:val="single" w:sz="6" w:space="0" w:color="000000"/>
              <w:bottom w:val="single" w:sz="4" w:space="0" w:color="auto"/>
            </w:tcBorders>
            <w:vAlign w:val="center"/>
          </w:tcPr>
          <w:p w14:paraId="077652CC" w14:textId="7D4AABFC" w:rsidR="008B05CB" w:rsidRDefault="00C3319A" w:rsidP="00CE19C6">
            <w:pPr>
              <w:spacing w:before="40" w:after="40"/>
              <w:jc w:val="center"/>
              <w:rPr>
                <w:sz w:val="18"/>
                <w:szCs w:val="18"/>
              </w:rPr>
            </w:pPr>
            <w:r>
              <w:rPr>
                <w:sz w:val="18"/>
                <w:szCs w:val="18"/>
              </w:rPr>
              <w:t>5</w:t>
            </w:r>
          </w:p>
        </w:tc>
        <w:tc>
          <w:tcPr>
            <w:tcW w:w="1335" w:type="dxa"/>
            <w:gridSpan w:val="2"/>
            <w:tcBorders>
              <w:top w:val="single" w:sz="6" w:space="0" w:color="000000"/>
              <w:bottom w:val="single" w:sz="4" w:space="0" w:color="auto"/>
            </w:tcBorders>
            <w:vAlign w:val="center"/>
          </w:tcPr>
          <w:p w14:paraId="6153070B" w14:textId="34B4D0D8" w:rsidR="008B05CB" w:rsidRDefault="00C3319A" w:rsidP="00CE19C6">
            <w:pPr>
              <w:spacing w:before="40" w:after="40"/>
              <w:jc w:val="center"/>
              <w:rPr>
                <w:sz w:val="18"/>
                <w:szCs w:val="18"/>
              </w:rPr>
            </w:pPr>
            <w:r>
              <w:rPr>
                <w:sz w:val="18"/>
                <w:szCs w:val="18"/>
              </w:rPr>
              <w:t>2015</w:t>
            </w:r>
          </w:p>
        </w:tc>
        <w:tc>
          <w:tcPr>
            <w:tcW w:w="4560" w:type="dxa"/>
            <w:gridSpan w:val="5"/>
            <w:tcBorders>
              <w:top w:val="single" w:sz="6" w:space="0" w:color="000000"/>
              <w:bottom w:val="single" w:sz="4" w:space="0" w:color="auto"/>
              <w:right w:val="single" w:sz="6" w:space="0" w:color="000000"/>
            </w:tcBorders>
            <w:vAlign w:val="center"/>
          </w:tcPr>
          <w:p w14:paraId="49420DE8" w14:textId="3100C7C4" w:rsidR="008B05CB" w:rsidRDefault="00C3319A" w:rsidP="00C3319A">
            <w:pPr>
              <w:spacing w:before="40" w:after="40"/>
              <w:jc w:val="center"/>
              <w:rPr>
                <w:sz w:val="16"/>
                <w:szCs w:val="16"/>
              </w:rPr>
            </w:pPr>
            <w:r>
              <w:rPr>
                <w:sz w:val="16"/>
              </w:rPr>
              <w:t>Typical source is erosion of natural deposits</w:t>
            </w:r>
          </w:p>
        </w:tc>
      </w:tr>
      <w:tr w:rsidR="00C3319A" w14:paraId="0E271C48" w14:textId="77777777" w:rsidTr="00C3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gridAfter w:val="1"/>
          <w:wAfter w:w="203" w:type="dxa"/>
          <w:cantSplit/>
        </w:trPr>
        <w:tc>
          <w:tcPr>
            <w:tcW w:w="1607" w:type="dxa"/>
            <w:gridSpan w:val="2"/>
            <w:shd w:val="pct30" w:color="C0C0C0" w:fill="auto"/>
            <w:vAlign w:val="center"/>
          </w:tcPr>
          <w:p w14:paraId="23A9CD97" w14:textId="77777777" w:rsidR="00C3319A" w:rsidRDefault="00C3319A" w:rsidP="00CE19C6">
            <w:pPr>
              <w:pStyle w:val="Heading4"/>
              <w:rPr>
                <w:sz w:val="18"/>
              </w:rPr>
            </w:pPr>
            <w:r>
              <w:rPr>
                <w:sz w:val="18"/>
              </w:rPr>
              <w:t>Microbial Contaminants</w:t>
            </w:r>
          </w:p>
        </w:tc>
        <w:tc>
          <w:tcPr>
            <w:tcW w:w="2850" w:type="dxa"/>
            <w:gridSpan w:val="4"/>
            <w:shd w:val="pct30" w:color="C0C0C0" w:fill="auto"/>
            <w:vAlign w:val="center"/>
          </w:tcPr>
          <w:p w14:paraId="4440D86C" w14:textId="77777777" w:rsidR="00C3319A" w:rsidRDefault="00C3319A" w:rsidP="00CE19C6">
            <w:pPr>
              <w:pStyle w:val="Heading4"/>
              <w:rPr>
                <w:sz w:val="18"/>
              </w:rPr>
            </w:pPr>
            <w:r>
              <w:rPr>
                <w:sz w:val="18"/>
              </w:rPr>
              <w:t>MCL</w:t>
            </w:r>
          </w:p>
        </w:tc>
        <w:tc>
          <w:tcPr>
            <w:tcW w:w="802" w:type="dxa"/>
            <w:gridSpan w:val="2"/>
            <w:shd w:val="pct30" w:color="C0C0C0" w:fill="auto"/>
            <w:vAlign w:val="center"/>
          </w:tcPr>
          <w:p w14:paraId="06BB746A" w14:textId="77777777" w:rsidR="00C3319A" w:rsidRDefault="00C3319A" w:rsidP="00CE19C6">
            <w:pPr>
              <w:pStyle w:val="Heading4"/>
              <w:rPr>
                <w:sz w:val="18"/>
              </w:rPr>
            </w:pPr>
            <w:r>
              <w:rPr>
                <w:sz w:val="18"/>
              </w:rPr>
              <w:t>MCLG</w:t>
            </w:r>
          </w:p>
        </w:tc>
        <w:tc>
          <w:tcPr>
            <w:tcW w:w="1334" w:type="dxa"/>
            <w:gridSpan w:val="2"/>
            <w:shd w:val="pct30" w:color="C0C0C0" w:fill="auto"/>
            <w:vAlign w:val="center"/>
          </w:tcPr>
          <w:p w14:paraId="606DBD6E" w14:textId="77777777" w:rsidR="00C3319A" w:rsidRDefault="00C3319A" w:rsidP="00CE19C6">
            <w:pPr>
              <w:pStyle w:val="Heading4"/>
              <w:rPr>
                <w:sz w:val="18"/>
              </w:rPr>
            </w:pPr>
            <w:r>
              <w:rPr>
                <w:sz w:val="18"/>
              </w:rPr>
              <w:t>Number</w:t>
            </w:r>
          </w:p>
          <w:p w14:paraId="6D090444" w14:textId="77777777" w:rsidR="00C3319A" w:rsidRDefault="00C3319A" w:rsidP="00CE19C6">
            <w:pPr>
              <w:pStyle w:val="Heading4"/>
              <w:rPr>
                <w:sz w:val="18"/>
              </w:rPr>
            </w:pPr>
            <w:r>
              <w:rPr>
                <w:sz w:val="18"/>
              </w:rPr>
              <w:t>Detected</w:t>
            </w:r>
          </w:p>
        </w:tc>
        <w:tc>
          <w:tcPr>
            <w:tcW w:w="1157" w:type="dxa"/>
            <w:gridSpan w:val="2"/>
            <w:shd w:val="pct30" w:color="C0C0C0" w:fill="auto"/>
            <w:vAlign w:val="center"/>
          </w:tcPr>
          <w:p w14:paraId="0DF5A6B5" w14:textId="77777777" w:rsidR="00C3319A" w:rsidRDefault="00C3319A" w:rsidP="00CE19C6">
            <w:pPr>
              <w:pStyle w:val="Heading4"/>
              <w:rPr>
                <w:sz w:val="18"/>
              </w:rPr>
            </w:pPr>
            <w:r>
              <w:rPr>
                <w:sz w:val="18"/>
              </w:rPr>
              <w:t>Violation</w:t>
            </w:r>
            <w:r>
              <w:rPr>
                <w:sz w:val="18"/>
              </w:rPr>
              <w:br/>
              <w:t>Yes / No</w:t>
            </w:r>
          </w:p>
        </w:tc>
        <w:tc>
          <w:tcPr>
            <w:tcW w:w="2577" w:type="dxa"/>
            <w:shd w:val="pct30" w:color="C0C0C0" w:fill="auto"/>
            <w:vAlign w:val="center"/>
          </w:tcPr>
          <w:p w14:paraId="240926ED" w14:textId="77777777" w:rsidR="00C3319A" w:rsidRDefault="00C3319A" w:rsidP="00CE19C6">
            <w:pPr>
              <w:pStyle w:val="Heading4"/>
              <w:rPr>
                <w:sz w:val="18"/>
              </w:rPr>
            </w:pPr>
            <w:r>
              <w:rPr>
                <w:sz w:val="18"/>
              </w:rPr>
              <w:t>Typical Source of Contaminant</w:t>
            </w:r>
          </w:p>
        </w:tc>
      </w:tr>
      <w:tr w:rsidR="00C3319A" w14:paraId="16795EE5" w14:textId="77777777" w:rsidTr="00C3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gridAfter w:val="1"/>
          <w:wAfter w:w="203" w:type="dxa"/>
          <w:cantSplit/>
          <w:trHeight w:val="791"/>
        </w:trPr>
        <w:tc>
          <w:tcPr>
            <w:tcW w:w="1607" w:type="dxa"/>
            <w:gridSpan w:val="2"/>
            <w:vAlign w:val="center"/>
          </w:tcPr>
          <w:p w14:paraId="0D74A2E4" w14:textId="77777777" w:rsidR="00C3319A" w:rsidRDefault="00C3319A" w:rsidP="00CE19C6">
            <w:pPr>
              <w:spacing w:before="60" w:after="60"/>
              <w:jc w:val="center"/>
              <w:rPr>
                <w:sz w:val="18"/>
              </w:rPr>
            </w:pPr>
            <w:r>
              <w:rPr>
                <w:sz w:val="18"/>
              </w:rPr>
              <w:t>Total Coliform Bacteria</w:t>
            </w:r>
          </w:p>
        </w:tc>
        <w:tc>
          <w:tcPr>
            <w:tcW w:w="2850" w:type="dxa"/>
            <w:gridSpan w:val="4"/>
            <w:vAlign w:val="center"/>
          </w:tcPr>
          <w:p w14:paraId="4E99C92A" w14:textId="77777777" w:rsidR="00C3319A" w:rsidRDefault="00C3319A" w:rsidP="00CE19C6">
            <w:pPr>
              <w:spacing w:before="60" w:after="60"/>
              <w:jc w:val="center"/>
              <w:rPr>
                <w:sz w:val="18"/>
              </w:rPr>
            </w:pPr>
            <w:r>
              <w:rPr>
                <w:sz w:val="18"/>
              </w:rPr>
              <w:t>&gt;1 positive monthly sample</w:t>
            </w:r>
            <w:r>
              <w:rPr>
                <w:sz w:val="18"/>
              </w:rPr>
              <w:br/>
              <w:t>(&gt;5.0% of monthly samples positive)</w:t>
            </w:r>
          </w:p>
        </w:tc>
        <w:tc>
          <w:tcPr>
            <w:tcW w:w="802" w:type="dxa"/>
            <w:gridSpan w:val="2"/>
            <w:vAlign w:val="center"/>
          </w:tcPr>
          <w:p w14:paraId="7CC71CE8" w14:textId="77777777" w:rsidR="00C3319A" w:rsidRDefault="00C3319A" w:rsidP="00CE19C6">
            <w:pPr>
              <w:spacing w:before="60" w:after="60"/>
              <w:jc w:val="center"/>
              <w:rPr>
                <w:sz w:val="18"/>
              </w:rPr>
            </w:pPr>
            <w:r>
              <w:rPr>
                <w:sz w:val="18"/>
              </w:rPr>
              <w:t>0</w:t>
            </w:r>
          </w:p>
        </w:tc>
        <w:tc>
          <w:tcPr>
            <w:tcW w:w="1334" w:type="dxa"/>
            <w:gridSpan w:val="2"/>
            <w:vAlign w:val="center"/>
          </w:tcPr>
          <w:p w14:paraId="7DACE983" w14:textId="51E655BB" w:rsidR="00C3319A" w:rsidRDefault="00C3319A" w:rsidP="00CE19C6">
            <w:pPr>
              <w:spacing w:before="60" w:after="60"/>
              <w:jc w:val="center"/>
              <w:rPr>
                <w:sz w:val="18"/>
              </w:rPr>
            </w:pPr>
            <w:r>
              <w:rPr>
                <w:sz w:val="18"/>
              </w:rPr>
              <w:t>0</w:t>
            </w:r>
          </w:p>
        </w:tc>
        <w:tc>
          <w:tcPr>
            <w:tcW w:w="1157" w:type="dxa"/>
            <w:gridSpan w:val="2"/>
            <w:vAlign w:val="center"/>
          </w:tcPr>
          <w:p w14:paraId="6D8742E5" w14:textId="0C73D515" w:rsidR="00C3319A" w:rsidRDefault="00C3319A" w:rsidP="00CE19C6">
            <w:pPr>
              <w:spacing w:before="60" w:after="60"/>
              <w:jc w:val="center"/>
              <w:rPr>
                <w:sz w:val="18"/>
              </w:rPr>
            </w:pPr>
            <w:r>
              <w:rPr>
                <w:sz w:val="18"/>
              </w:rPr>
              <w:t>NO</w:t>
            </w:r>
          </w:p>
        </w:tc>
        <w:tc>
          <w:tcPr>
            <w:tcW w:w="2577" w:type="dxa"/>
            <w:vAlign w:val="center"/>
          </w:tcPr>
          <w:p w14:paraId="791E3237" w14:textId="77777777" w:rsidR="00C3319A" w:rsidRDefault="00C3319A" w:rsidP="00CE19C6">
            <w:pPr>
              <w:spacing w:before="60" w:after="60"/>
              <w:jc w:val="center"/>
              <w:rPr>
                <w:sz w:val="18"/>
              </w:rPr>
            </w:pPr>
            <w:r>
              <w:rPr>
                <w:sz w:val="18"/>
              </w:rPr>
              <w:t>Naturally present in the environment</w:t>
            </w:r>
          </w:p>
        </w:tc>
      </w:tr>
      <w:tr w:rsidR="00C3319A" w14:paraId="670937F3" w14:textId="77777777" w:rsidTr="00C33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gridAfter w:val="1"/>
          <w:wAfter w:w="203" w:type="dxa"/>
          <w:cantSplit/>
        </w:trPr>
        <w:tc>
          <w:tcPr>
            <w:tcW w:w="1607" w:type="dxa"/>
            <w:gridSpan w:val="2"/>
            <w:vAlign w:val="center"/>
          </w:tcPr>
          <w:p w14:paraId="493A34DB" w14:textId="77777777" w:rsidR="00C3319A" w:rsidRDefault="00C3319A" w:rsidP="00CE19C6">
            <w:pPr>
              <w:spacing w:before="60" w:after="60"/>
              <w:jc w:val="center"/>
              <w:rPr>
                <w:sz w:val="18"/>
              </w:rPr>
            </w:pPr>
            <w:r>
              <w:rPr>
                <w:sz w:val="18"/>
              </w:rPr>
              <w:t xml:space="preserve">Fecal Coliform and </w:t>
            </w:r>
            <w:r>
              <w:rPr>
                <w:i/>
                <w:sz w:val="18"/>
              </w:rPr>
              <w:t>E. coli</w:t>
            </w:r>
          </w:p>
        </w:tc>
        <w:tc>
          <w:tcPr>
            <w:tcW w:w="2850" w:type="dxa"/>
            <w:gridSpan w:val="4"/>
            <w:vAlign w:val="center"/>
          </w:tcPr>
          <w:p w14:paraId="590AA234" w14:textId="77777777" w:rsidR="00C3319A" w:rsidRDefault="00C3319A" w:rsidP="00CE19C6">
            <w:pPr>
              <w:spacing w:before="60" w:after="60"/>
              <w:jc w:val="center"/>
              <w:rPr>
                <w:sz w:val="18"/>
              </w:rPr>
            </w:pPr>
            <w:r>
              <w:rPr>
                <w:sz w:val="18"/>
              </w:rPr>
              <w:t xml:space="preserve">Routine and repeat sample total coliform positive, and one is also fecal or </w:t>
            </w:r>
            <w:r>
              <w:rPr>
                <w:i/>
                <w:sz w:val="18"/>
              </w:rPr>
              <w:t>E. coli</w:t>
            </w:r>
            <w:r>
              <w:rPr>
                <w:sz w:val="18"/>
              </w:rPr>
              <w:t xml:space="preserve"> positive</w:t>
            </w:r>
          </w:p>
        </w:tc>
        <w:tc>
          <w:tcPr>
            <w:tcW w:w="802" w:type="dxa"/>
            <w:gridSpan w:val="2"/>
            <w:vAlign w:val="center"/>
          </w:tcPr>
          <w:p w14:paraId="07FD8D45" w14:textId="77777777" w:rsidR="00C3319A" w:rsidRDefault="00C3319A" w:rsidP="00CE19C6">
            <w:pPr>
              <w:spacing w:before="60" w:after="60"/>
              <w:jc w:val="center"/>
              <w:rPr>
                <w:sz w:val="18"/>
              </w:rPr>
            </w:pPr>
            <w:r>
              <w:rPr>
                <w:sz w:val="18"/>
              </w:rPr>
              <w:t>0</w:t>
            </w:r>
          </w:p>
        </w:tc>
        <w:tc>
          <w:tcPr>
            <w:tcW w:w="1334" w:type="dxa"/>
            <w:gridSpan w:val="2"/>
            <w:vAlign w:val="center"/>
          </w:tcPr>
          <w:p w14:paraId="25214485" w14:textId="52C23A8E" w:rsidR="00C3319A" w:rsidRDefault="00C3319A" w:rsidP="00CE19C6">
            <w:pPr>
              <w:spacing w:before="60" w:after="60"/>
              <w:jc w:val="center"/>
              <w:rPr>
                <w:sz w:val="18"/>
              </w:rPr>
            </w:pPr>
            <w:r>
              <w:rPr>
                <w:sz w:val="18"/>
              </w:rPr>
              <w:t>0</w:t>
            </w:r>
          </w:p>
        </w:tc>
        <w:tc>
          <w:tcPr>
            <w:tcW w:w="1157" w:type="dxa"/>
            <w:gridSpan w:val="2"/>
            <w:vAlign w:val="center"/>
          </w:tcPr>
          <w:p w14:paraId="084E5B7E" w14:textId="004D2EB5" w:rsidR="00C3319A" w:rsidRDefault="00C3319A" w:rsidP="00CE19C6">
            <w:pPr>
              <w:spacing w:before="60" w:after="60"/>
              <w:jc w:val="center"/>
              <w:rPr>
                <w:sz w:val="18"/>
              </w:rPr>
            </w:pPr>
            <w:r>
              <w:rPr>
                <w:sz w:val="18"/>
              </w:rPr>
              <w:t>NO</w:t>
            </w:r>
          </w:p>
        </w:tc>
        <w:tc>
          <w:tcPr>
            <w:tcW w:w="2577" w:type="dxa"/>
            <w:vAlign w:val="center"/>
          </w:tcPr>
          <w:p w14:paraId="41189497" w14:textId="77777777" w:rsidR="00C3319A" w:rsidRDefault="00C3319A" w:rsidP="00CE19C6">
            <w:pPr>
              <w:spacing w:before="60" w:after="60"/>
              <w:jc w:val="center"/>
              <w:rPr>
                <w:sz w:val="18"/>
              </w:rPr>
            </w:pPr>
            <w:r>
              <w:rPr>
                <w:sz w:val="18"/>
              </w:rPr>
              <w:t>Human and animal fecal waste</w:t>
            </w:r>
          </w:p>
        </w:tc>
      </w:tr>
    </w:tbl>
    <w:p w14:paraId="4CAD3B89" w14:textId="77777777" w:rsidR="00893A3F" w:rsidRPr="005670E5" w:rsidRDefault="00893A3F" w:rsidP="00147B90">
      <w:pPr>
        <w:jc w:val="center"/>
        <w:rPr>
          <w:sz w:val="20"/>
          <w:szCs w:val="20"/>
        </w:rPr>
      </w:pPr>
    </w:p>
    <w:p w14:paraId="1628D677" w14:textId="2E9F6CB9" w:rsidR="00135691" w:rsidRDefault="00135691" w:rsidP="00147B90">
      <w:pPr>
        <w:pStyle w:val="Default"/>
        <w:jc w:val="center"/>
      </w:pPr>
    </w:p>
    <w:p w14:paraId="664F52F2" w14:textId="77777777" w:rsidR="009E1673" w:rsidRPr="005670E5" w:rsidRDefault="00135691" w:rsidP="00135691">
      <w:pPr>
        <w:rPr>
          <w:sz w:val="18"/>
          <w:szCs w:val="18"/>
        </w:rPr>
      </w:pPr>
      <w:r w:rsidRPr="005670E5">
        <w:rPr>
          <w:sz w:val="18"/>
          <w:szCs w:val="18"/>
        </w:rPr>
        <w:t xml:space="preserve">Definitions </w:t>
      </w:r>
    </w:p>
    <w:p w14:paraId="2642CC28" w14:textId="66A51624" w:rsidR="00135691" w:rsidRPr="005670E5" w:rsidRDefault="00135691" w:rsidP="00135691">
      <w:pPr>
        <w:rPr>
          <w:sz w:val="18"/>
          <w:szCs w:val="18"/>
        </w:rPr>
      </w:pPr>
    </w:p>
    <w:p w14:paraId="0F0EDA95" w14:textId="44FB0E24" w:rsidR="00135691" w:rsidRPr="005670E5" w:rsidRDefault="00135691" w:rsidP="00135691">
      <w:pPr>
        <w:pStyle w:val="Default"/>
        <w:numPr>
          <w:ilvl w:val="0"/>
          <w:numId w:val="4"/>
        </w:numPr>
        <w:rPr>
          <w:sz w:val="18"/>
          <w:szCs w:val="18"/>
        </w:rPr>
      </w:pPr>
      <w:r w:rsidRPr="005670E5">
        <w:rPr>
          <w:sz w:val="18"/>
          <w:szCs w:val="18"/>
        </w:rPr>
        <w:t>MCL</w:t>
      </w:r>
      <w:r w:rsidR="00C26E78" w:rsidRPr="005670E5">
        <w:rPr>
          <w:sz w:val="18"/>
          <w:szCs w:val="18"/>
        </w:rPr>
        <w:t xml:space="preserve"> </w:t>
      </w:r>
      <w:r w:rsidRPr="005670E5">
        <w:rPr>
          <w:sz w:val="18"/>
          <w:szCs w:val="18"/>
        </w:rPr>
        <w:t xml:space="preserve">(Maximum </w:t>
      </w:r>
      <w:r w:rsidR="00C26E78" w:rsidRPr="005670E5">
        <w:rPr>
          <w:sz w:val="18"/>
          <w:szCs w:val="18"/>
        </w:rPr>
        <w:t>Contaminate</w:t>
      </w:r>
      <w:r w:rsidRPr="005670E5">
        <w:rPr>
          <w:sz w:val="18"/>
          <w:szCs w:val="18"/>
        </w:rPr>
        <w:t xml:space="preserve"> Level)- The highest level of a </w:t>
      </w:r>
      <w:r w:rsidR="00C26E78" w:rsidRPr="005670E5">
        <w:rPr>
          <w:sz w:val="18"/>
          <w:szCs w:val="18"/>
        </w:rPr>
        <w:t>contaminate</w:t>
      </w:r>
      <w:r w:rsidRPr="005670E5">
        <w:rPr>
          <w:sz w:val="18"/>
          <w:szCs w:val="18"/>
        </w:rPr>
        <w:t xml:space="preserve"> that is allowed in drinking water. MCLs are set as close to the MCLGs </w:t>
      </w:r>
      <w:r w:rsidR="00C26E78" w:rsidRPr="005670E5">
        <w:rPr>
          <w:sz w:val="18"/>
          <w:szCs w:val="18"/>
        </w:rPr>
        <w:t xml:space="preserve">as feasible using the best available treatment technology. </w:t>
      </w:r>
    </w:p>
    <w:p w14:paraId="2FE570AA" w14:textId="17D22B91" w:rsidR="00135691" w:rsidRPr="005670E5" w:rsidRDefault="00135691" w:rsidP="00135691">
      <w:pPr>
        <w:pStyle w:val="Default"/>
        <w:numPr>
          <w:ilvl w:val="0"/>
          <w:numId w:val="4"/>
        </w:numPr>
        <w:rPr>
          <w:sz w:val="18"/>
          <w:szCs w:val="18"/>
        </w:rPr>
      </w:pPr>
      <w:r w:rsidRPr="005670E5">
        <w:rPr>
          <w:sz w:val="18"/>
          <w:szCs w:val="18"/>
        </w:rPr>
        <w:t>MCLG</w:t>
      </w:r>
      <w:r w:rsidR="00C26E78" w:rsidRPr="005670E5">
        <w:rPr>
          <w:sz w:val="18"/>
          <w:szCs w:val="18"/>
        </w:rPr>
        <w:t xml:space="preserve"> (Maximum Contaminate Level Goal)- The level of a contaminate in drinking water below which there is no known or expected risk to health. MCLGs allow for a margin of safety. </w:t>
      </w:r>
    </w:p>
    <w:p w14:paraId="5F1C0332" w14:textId="417C8D02" w:rsidR="00135691" w:rsidRPr="005670E5" w:rsidRDefault="00135691" w:rsidP="00135691">
      <w:pPr>
        <w:pStyle w:val="Default"/>
        <w:numPr>
          <w:ilvl w:val="0"/>
          <w:numId w:val="4"/>
        </w:numPr>
        <w:rPr>
          <w:sz w:val="18"/>
          <w:szCs w:val="18"/>
        </w:rPr>
      </w:pPr>
      <w:r w:rsidRPr="005670E5">
        <w:rPr>
          <w:sz w:val="18"/>
          <w:szCs w:val="18"/>
        </w:rPr>
        <w:t>MRDL</w:t>
      </w:r>
      <w:r w:rsidR="00C26E78" w:rsidRPr="005670E5">
        <w:rPr>
          <w:sz w:val="18"/>
          <w:szCs w:val="18"/>
        </w:rPr>
        <w:t xml:space="preserve"> (Maximum Residual Disinfectant Level)- The highest level of a disinfectant allowed in drinking water. There is convincing evidence that addition of a disinfectant is necessary for control of microbial contaminates. </w:t>
      </w:r>
    </w:p>
    <w:p w14:paraId="10F2EB7C" w14:textId="1B5BB685" w:rsidR="00135691" w:rsidRPr="005670E5" w:rsidRDefault="00135691" w:rsidP="00135691">
      <w:pPr>
        <w:pStyle w:val="Default"/>
        <w:numPr>
          <w:ilvl w:val="0"/>
          <w:numId w:val="4"/>
        </w:numPr>
        <w:rPr>
          <w:sz w:val="18"/>
          <w:szCs w:val="18"/>
        </w:rPr>
      </w:pPr>
      <w:r w:rsidRPr="005670E5">
        <w:rPr>
          <w:sz w:val="18"/>
          <w:szCs w:val="18"/>
        </w:rPr>
        <w:t xml:space="preserve">MRDLG </w:t>
      </w:r>
      <w:r w:rsidR="00C26E78" w:rsidRPr="005670E5">
        <w:rPr>
          <w:sz w:val="18"/>
          <w:szCs w:val="18"/>
        </w:rPr>
        <w:t>(Maximum Residual Disinfection Level Goal)- The level of a drinking water disinfection below which there is no known or expected risk to health. MRDLGs do not reflect the benefits of the use of disinfectants to control microbial contaminates.</w:t>
      </w:r>
    </w:p>
    <w:p w14:paraId="32C09D24" w14:textId="6E9EAEC0" w:rsidR="00135691" w:rsidRPr="005670E5" w:rsidRDefault="00C26E78" w:rsidP="00135691">
      <w:pPr>
        <w:pStyle w:val="Default"/>
        <w:numPr>
          <w:ilvl w:val="0"/>
          <w:numId w:val="4"/>
        </w:numPr>
        <w:rPr>
          <w:sz w:val="18"/>
          <w:szCs w:val="18"/>
        </w:rPr>
      </w:pPr>
      <w:r w:rsidRPr="005670E5">
        <w:rPr>
          <w:sz w:val="18"/>
          <w:szCs w:val="18"/>
        </w:rPr>
        <w:t xml:space="preserve">AL (Action Level)- The concentration of a contaminate which, if exceeded, triggers treatment or other requirements which a water system must follow. </w:t>
      </w:r>
    </w:p>
    <w:p w14:paraId="761D9ACA" w14:textId="718ED7DC" w:rsidR="00135691" w:rsidRPr="005670E5" w:rsidRDefault="00C26E78" w:rsidP="00135691">
      <w:pPr>
        <w:pStyle w:val="Default"/>
        <w:numPr>
          <w:ilvl w:val="0"/>
          <w:numId w:val="4"/>
        </w:numPr>
        <w:rPr>
          <w:sz w:val="18"/>
          <w:szCs w:val="18"/>
        </w:rPr>
      </w:pPr>
      <w:r w:rsidRPr="005670E5">
        <w:rPr>
          <w:sz w:val="18"/>
          <w:szCs w:val="18"/>
        </w:rPr>
        <w:t xml:space="preserve"> TT (Treatment Technique)- A required process intended to reduce the level of a contaminate in drinking water. </w:t>
      </w:r>
    </w:p>
    <w:p w14:paraId="7CB21468" w14:textId="557E3864" w:rsidR="00135691" w:rsidRPr="005670E5" w:rsidRDefault="002A5C82" w:rsidP="00135691">
      <w:pPr>
        <w:pStyle w:val="Default"/>
        <w:rPr>
          <w:sz w:val="18"/>
          <w:szCs w:val="18"/>
        </w:rPr>
      </w:pPr>
      <w:r w:rsidRPr="005670E5">
        <w:rPr>
          <w:sz w:val="18"/>
          <w:szCs w:val="18"/>
        </w:rPr>
        <w:t xml:space="preserve">Units </w:t>
      </w:r>
    </w:p>
    <w:p w14:paraId="265CE9B3" w14:textId="48660C94" w:rsidR="002A5C82" w:rsidRPr="005670E5" w:rsidRDefault="00A907C8" w:rsidP="002A5C82">
      <w:pPr>
        <w:pStyle w:val="Default"/>
        <w:numPr>
          <w:ilvl w:val="0"/>
          <w:numId w:val="6"/>
        </w:numPr>
        <w:rPr>
          <w:sz w:val="18"/>
          <w:szCs w:val="18"/>
        </w:rPr>
      </w:pPr>
      <w:r w:rsidRPr="005670E5">
        <w:rPr>
          <w:sz w:val="18"/>
          <w:szCs w:val="18"/>
        </w:rPr>
        <w:t>ppm (parts per million)</w:t>
      </w:r>
    </w:p>
    <w:p w14:paraId="08A1F5F9" w14:textId="1554324C" w:rsidR="00A907C8" w:rsidRPr="005670E5" w:rsidRDefault="00A907C8" w:rsidP="002A5C82">
      <w:pPr>
        <w:pStyle w:val="Default"/>
        <w:numPr>
          <w:ilvl w:val="0"/>
          <w:numId w:val="6"/>
        </w:numPr>
        <w:rPr>
          <w:sz w:val="18"/>
          <w:szCs w:val="18"/>
        </w:rPr>
      </w:pPr>
      <w:proofErr w:type="spellStart"/>
      <w:r w:rsidRPr="005670E5">
        <w:rPr>
          <w:sz w:val="18"/>
          <w:szCs w:val="18"/>
        </w:rPr>
        <w:t>pCi</w:t>
      </w:r>
      <w:proofErr w:type="spellEnd"/>
      <w:r w:rsidRPr="005670E5">
        <w:rPr>
          <w:sz w:val="18"/>
          <w:szCs w:val="18"/>
        </w:rPr>
        <w:t>/L (picocuries per liter) a measure of radioactivity</w:t>
      </w:r>
    </w:p>
    <w:p w14:paraId="163BF5DF" w14:textId="3FE91239" w:rsidR="00A907C8" w:rsidRPr="005670E5" w:rsidRDefault="00A907C8" w:rsidP="002A5C82">
      <w:pPr>
        <w:pStyle w:val="Default"/>
        <w:numPr>
          <w:ilvl w:val="0"/>
          <w:numId w:val="6"/>
        </w:numPr>
        <w:rPr>
          <w:sz w:val="18"/>
          <w:szCs w:val="18"/>
        </w:rPr>
      </w:pPr>
      <w:r w:rsidRPr="005670E5">
        <w:rPr>
          <w:sz w:val="18"/>
          <w:szCs w:val="18"/>
        </w:rPr>
        <w:t xml:space="preserve">NA (not applicable) </w:t>
      </w:r>
    </w:p>
    <w:p w14:paraId="0396813F" w14:textId="3FD6491A" w:rsidR="00A907C8" w:rsidRPr="005670E5" w:rsidRDefault="00A907C8" w:rsidP="002A5C82">
      <w:pPr>
        <w:pStyle w:val="Default"/>
        <w:numPr>
          <w:ilvl w:val="0"/>
          <w:numId w:val="6"/>
        </w:numPr>
        <w:rPr>
          <w:sz w:val="18"/>
          <w:szCs w:val="18"/>
        </w:rPr>
      </w:pPr>
      <w:r w:rsidRPr="005670E5">
        <w:rPr>
          <w:sz w:val="18"/>
          <w:szCs w:val="18"/>
        </w:rPr>
        <w:t>ND (not detected)</w:t>
      </w:r>
    </w:p>
    <w:p w14:paraId="2DB625D6" w14:textId="1D372359" w:rsidR="00A907C8" w:rsidRPr="005670E5" w:rsidRDefault="00A907C8" w:rsidP="002A5C82">
      <w:pPr>
        <w:pStyle w:val="Default"/>
        <w:numPr>
          <w:ilvl w:val="0"/>
          <w:numId w:val="6"/>
        </w:numPr>
        <w:rPr>
          <w:sz w:val="18"/>
          <w:szCs w:val="18"/>
        </w:rPr>
      </w:pPr>
      <w:r w:rsidRPr="005670E5">
        <w:rPr>
          <w:sz w:val="18"/>
          <w:szCs w:val="18"/>
        </w:rPr>
        <w:t xml:space="preserve">NR (Monitoring not required, but recommended) </w:t>
      </w:r>
    </w:p>
    <w:p w14:paraId="39B4629A" w14:textId="5D651BB6" w:rsidR="005670E5" w:rsidRDefault="005670E5"/>
    <w:p w14:paraId="31D1B621" w14:textId="3865EFFC" w:rsidR="005670E5" w:rsidRDefault="005670E5" w:rsidP="005670E5">
      <w:r>
        <w:t>Why are there contaminates in my drinking water?</w:t>
      </w:r>
    </w:p>
    <w:p w14:paraId="5544ECC0" w14:textId="77777777" w:rsidR="005670E5" w:rsidRDefault="005670E5" w:rsidP="005670E5">
      <w:pPr>
        <w:pStyle w:val="ListParagraph"/>
        <w:numPr>
          <w:ilvl w:val="0"/>
          <w:numId w:val="4"/>
        </w:numPr>
      </w:pPr>
      <w:r>
        <w:t xml:space="preserve">Drinking water, including bottled water, may have reasonably small amounts of contaminates.  The presence of contaminates dies not necessarily indicate that water poses a health risk.  More information about contaminates and potential heath effects can be obtained by calling the environmental protection agency’s (EPA) Safe Drinking Water hotline (800-426-4791). </w:t>
      </w:r>
    </w:p>
    <w:p w14:paraId="503B56A5" w14:textId="77777777" w:rsidR="005670E5" w:rsidRDefault="005670E5" w:rsidP="005670E5">
      <w:pPr>
        <w:pStyle w:val="ListParagraph"/>
        <w:numPr>
          <w:ilvl w:val="0"/>
          <w:numId w:val="4"/>
        </w:numPr>
      </w:pPr>
      <w:r>
        <w:t xml:space="preserve">The sources of drinking water (both tap and bottles water) include rivers, lakes, streams, ponds, reservoirs, springs, and wells.  As water travels over the surface of the land or through the ground, it dissolves naturally occurring minerals and radio active material can pick up substances from the presence of animal or from human activity. </w:t>
      </w:r>
    </w:p>
    <w:p w14:paraId="0F77CA11" w14:textId="77777777" w:rsidR="005670E5" w:rsidRPr="0015728A" w:rsidRDefault="005670E5" w:rsidP="005670E5">
      <w:pPr>
        <w:pStyle w:val="ListParagraph"/>
        <w:widowControl w:val="0"/>
        <w:numPr>
          <w:ilvl w:val="0"/>
          <w:numId w:val="4"/>
        </w:numPr>
        <w:autoSpaceDE w:val="0"/>
        <w:autoSpaceDN w:val="0"/>
        <w:adjustRightInd w:val="0"/>
        <w:rPr>
          <w:rFonts w:cs="Lucida Grande"/>
          <w:color w:val="111111"/>
        </w:rPr>
      </w:pPr>
      <w:r w:rsidRPr="0015728A">
        <w:rPr>
          <w:rFonts w:cs="Lucida Grande"/>
          <w:color w:val="111111"/>
        </w:rPr>
        <w:t>Surface waters and aquifers can be contaminated by various chemicals, microbes, and radionuclides. Disinfection of drinking water has dramatically reduced the prevalence of waterborne diseases (such as typhoid, cholera, and hepatitis) in the United States. Other processes may also be used to treat drinking water depending on the characteristics of and contaminants in the source water.</w:t>
      </w:r>
    </w:p>
    <w:p w14:paraId="018FA4A7" w14:textId="77777777" w:rsidR="005670E5" w:rsidRPr="0015728A" w:rsidRDefault="005670E5" w:rsidP="005670E5">
      <w:pPr>
        <w:widowControl w:val="0"/>
        <w:autoSpaceDE w:val="0"/>
        <w:autoSpaceDN w:val="0"/>
        <w:adjustRightInd w:val="0"/>
        <w:rPr>
          <w:rFonts w:cs="Lucida Grande"/>
          <w:color w:val="111111"/>
        </w:rPr>
      </w:pPr>
    </w:p>
    <w:p w14:paraId="7EAC502A" w14:textId="77777777" w:rsidR="005670E5" w:rsidRPr="0015728A" w:rsidRDefault="005670E5" w:rsidP="005670E5">
      <w:pPr>
        <w:pStyle w:val="ListParagraph"/>
        <w:widowControl w:val="0"/>
        <w:numPr>
          <w:ilvl w:val="0"/>
          <w:numId w:val="4"/>
        </w:numPr>
        <w:autoSpaceDE w:val="0"/>
        <w:autoSpaceDN w:val="0"/>
        <w:adjustRightInd w:val="0"/>
        <w:rPr>
          <w:rFonts w:cs="Lucida Grande"/>
          <w:color w:val="111111"/>
        </w:rPr>
      </w:pPr>
      <w:r w:rsidRPr="0015728A">
        <w:rPr>
          <w:rFonts w:cs="Lucida Grande"/>
          <w:color w:val="111111"/>
        </w:rPr>
        <w:t>Common sources of drinking water contaminants include:</w:t>
      </w:r>
    </w:p>
    <w:p w14:paraId="338C4FA0" w14:textId="77777777" w:rsidR="005670E5" w:rsidRPr="0015728A" w:rsidRDefault="005670E5" w:rsidP="005670E5">
      <w:pPr>
        <w:widowControl w:val="0"/>
        <w:numPr>
          <w:ilvl w:val="0"/>
          <w:numId w:val="5"/>
        </w:numPr>
        <w:tabs>
          <w:tab w:val="left" w:pos="220"/>
          <w:tab w:val="left" w:pos="720"/>
        </w:tabs>
        <w:autoSpaceDE w:val="0"/>
        <w:autoSpaceDN w:val="0"/>
        <w:adjustRightInd w:val="0"/>
        <w:ind w:hanging="720"/>
        <w:rPr>
          <w:rFonts w:cs="Lucida Grande"/>
          <w:color w:val="111111"/>
        </w:rPr>
      </w:pPr>
      <w:r w:rsidRPr="0015728A">
        <w:rPr>
          <w:rFonts w:cs="Lucida Grande"/>
          <w:b/>
          <w:bCs/>
          <w:color w:val="111111"/>
        </w:rPr>
        <w:t>Industry and agriculture.</w:t>
      </w:r>
      <w:r w:rsidRPr="0015728A">
        <w:rPr>
          <w:rFonts w:cs="Lucida Grande"/>
          <w:color w:val="111111"/>
        </w:rPr>
        <w:t xml:space="preserve"> Organic solvents, petroleum products, and heavy metals from disposal sites or storage facilities can migrate into aquifers. Pesticides and fertilizers can be carried into lakes and streams by rainfall runoff or snowmelt, or can percolate into aquifers.</w:t>
      </w:r>
    </w:p>
    <w:p w14:paraId="28D76F97" w14:textId="77777777" w:rsidR="005670E5" w:rsidRPr="0015728A" w:rsidRDefault="005670E5" w:rsidP="005670E5">
      <w:pPr>
        <w:widowControl w:val="0"/>
        <w:numPr>
          <w:ilvl w:val="0"/>
          <w:numId w:val="5"/>
        </w:numPr>
        <w:tabs>
          <w:tab w:val="left" w:pos="220"/>
          <w:tab w:val="left" w:pos="720"/>
        </w:tabs>
        <w:autoSpaceDE w:val="0"/>
        <w:autoSpaceDN w:val="0"/>
        <w:adjustRightInd w:val="0"/>
        <w:ind w:hanging="720"/>
        <w:rPr>
          <w:rFonts w:cs="Lucida Grande"/>
          <w:color w:val="111111"/>
        </w:rPr>
      </w:pPr>
      <w:r w:rsidRPr="0015728A">
        <w:rPr>
          <w:rFonts w:cs="Lucida Grande"/>
          <w:b/>
          <w:bCs/>
          <w:color w:val="111111"/>
        </w:rPr>
        <w:t>Human and animal waste.</w:t>
      </w:r>
      <w:r w:rsidRPr="0015728A">
        <w:rPr>
          <w:rFonts w:cs="Lucida Grande"/>
          <w:color w:val="111111"/>
        </w:rPr>
        <w:t xml:space="preserve"> Human wastes from sewage and septic systems can carry harmful microbes into drinking water sources, as can wastes from animal feedlots and wildlife. Major contaminants include Giardia, Cryptosporidium, and E. coli.</w:t>
      </w:r>
    </w:p>
    <w:p w14:paraId="6BE0ABC0" w14:textId="77777777" w:rsidR="005670E5" w:rsidRDefault="005670E5" w:rsidP="005670E5">
      <w:pPr>
        <w:widowControl w:val="0"/>
        <w:numPr>
          <w:ilvl w:val="0"/>
          <w:numId w:val="5"/>
        </w:numPr>
        <w:tabs>
          <w:tab w:val="left" w:pos="220"/>
          <w:tab w:val="left" w:pos="720"/>
        </w:tabs>
        <w:autoSpaceDE w:val="0"/>
        <w:autoSpaceDN w:val="0"/>
        <w:adjustRightInd w:val="0"/>
        <w:ind w:hanging="720"/>
        <w:rPr>
          <w:rFonts w:cs="Lucida Grande"/>
          <w:color w:val="111111"/>
        </w:rPr>
      </w:pPr>
      <w:r w:rsidRPr="0015728A">
        <w:rPr>
          <w:rFonts w:cs="Lucida Grande"/>
          <w:b/>
          <w:bCs/>
          <w:color w:val="111111"/>
        </w:rPr>
        <w:t>Treatment and distribution.</w:t>
      </w:r>
      <w:r w:rsidRPr="0015728A">
        <w:rPr>
          <w:rFonts w:cs="Lucida Grande"/>
          <w:color w:val="111111"/>
        </w:rPr>
        <w:t xml:space="preserve"> While treatment can remove many contaminants, it can also leave behind byproducts (such as </w:t>
      </w:r>
      <w:proofErr w:type="spellStart"/>
      <w:r w:rsidRPr="0015728A">
        <w:rPr>
          <w:rFonts w:cs="Lucida Grande"/>
          <w:color w:val="111111"/>
        </w:rPr>
        <w:t>trihalomethanes</w:t>
      </w:r>
      <w:proofErr w:type="spellEnd"/>
      <w:r w:rsidRPr="0015728A">
        <w:rPr>
          <w:rFonts w:cs="Lucida Grande"/>
          <w:color w:val="111111"/>
        </w:rPr>
        <w:t>) that may themselves be harmful. Water can also become contaminated after it enters the distribution system, from a breach in the piping system or from corrosion of plumbing materials made from lead or copper.</w:t>
      </w:r>
    </w:p>
    <w:p w14:paraId="2529D1EC" w14:textId="77777777" w:rsidR="005670E5" w:rsidRDefault="005670E5" w:rsidP="005670E5">
      <w:pPr>
        <w:widowControl w:val="0"/>
        <w:numPr>
          <w:ilvl w:val="0"/>
          <w:numId w:val="5"/>
        </w:numPr>
        <w:tabs>
          <w:tab w:val="left" w:pos="220"/>
          <w:tab w:val="left" w:pos="720"/>
        </w:tabs>
        <w:autoSpaceDE w:val="0"/>
        <w:autoSpaceDN w:val="0"/>
        <w:adjustRightInd w:val="0"/>
        <w:ind w:hanging="720"/>
        <w:rPr>
          <w:rFonts w:cs="Lucida Grande"/>
          <w:color w:val="111111"/>
        </w:rPr>
      </w:pPr>
      <w:r w:rsidRPr="0015728A">
        <w:rPr>
          <w:rFonts w:cs="Lucida Grande"/>
          <w:b/>
          <w:bCs/>
          <w:color w:val="111111"/>
        </w:rPr>
        <w:t>Natural sources.</w:t>
      </w:r>
      <w:r w:rsidRPr="0015728A">
        <w:rPr>
          <w:rFonts w:cs="Lucida Grande"/>
          <w:color w:val="111111"/>
        </w:rPr>
        <w:t xml:space="preserve"> Some ground water is unsuitable for drinking because the local underground conditions include high levels of certain contaminants. For example, as ground water travels through rock and soil, it can pick up naturally occurring arsenic, other heavy metals, or radionuclides.</w:t>
      </w:r>
    </w:p>
    <w:p w14:paraId="5067173C" w14:textId="77777777" w:rsidR="005670E5" w:rsidRPr="0015728A" w:rsidRDefault="005670E5" w:rsidP="005670E5">
      <w:pPr>
        <w:widowControl w:val="0"/>
        <w:numPr>
          <w:ilvl w:val="1"/>
          <w:numId w:val="5"/>
        </w:numPr>
        <w:tabs>
          <w:tab w:val="left" w:pos="220"/>
          <w:tab w:val="left" w:pos="720"/>
        </w:tabs>
        <w:autoSpaceDE w:val="0"/>
        <w:autoSpaceDN w:val="0"/>
        <w:adjustRightInd w:val="0"/>
        <w:rPr>
          <w:rFonts w:cs="Lucida Grande"/>
          <w:color w:val="111111"/>
        </w:rPr>
      </w:pPr>
      <w:r>
        <w:rPr>
          <w:rFonts w:cs="Lucida Grande"/>
          <w:bCs/>
          <w:color w:val="111111"/>
        </w:rPr>
        <w:t xml:space="preserve">In order to ensure that tap water is safe to drink, EPA prescribes regulations that limit the amount of certain contaminates in water provided by public water systems.   Food and Drug Administration (FDA) regulations establishes limits for contaminates in bottled water which must provide the same protection for public health. </w:t>
      </w:r>
    </w:p>
    <w:p w14:paraId="1DF34419" w14:textId="77777777" w:rsidR="005670E5" w:rsidRDefault="005670E5" w:rsidP="005670E5"/>
    <w:p w14:paraId="18882AC2" w14:textId="77777777" w:rsidR="005670E5" w:rsidRDefault="005670E5" w:rsidP="005670E5">
      <w:r>
        <w:t>Do I need to take special precautions?</w:t>
      </w:r>
    </w:p>
    <w:p w14:paraId="3ADD0661" w14:textId="77777777" w:rsidR="005670E5" w:rsidRPr="00135691" w:rsidRDefault="005670E5" w:rsidP="005670E5">
      <w:pPr>
        <w:pStyle w:val="ListParagraph"/>
        <w:numPr>
          <w:ilvl w:val="0"/>
          <w:numId w:val="4"/>
        </w:numPr>
      </w:pPr>
      <w:r>
        <w:t xml:space="preserve">Some people may be more vulnerable to contaminates in drinking water than the general population.  Immune-compromised persons such as persons with cancer undergoing chemotherapy, persons who have undergone organ transplants, people with HIV/ AIDS or other immune disorders, some elderly, and infants can be particularly at risk from infections.  These people should seek advice about drinking water from their health care providers.  EPA/ Centers for Disease Control (CDC) guidelines on appropriate means to lessen the risk of infections by cryptosporidium and other microbial contaminates are available </w:t>
      </w:r>
      <w:r w:rsidRPr="00135691">
        <w:t xml:space="preserve">from the safe water drinking hotline (800-426-4791). </w:t>
      </w:r>
    </w:p>
    <w:p w14:paraId="4E17CFBB" w14:textId="5EBF323C" w:rsidR="00770278" w:rsidRDefault="00770278" w:rsidP="005670E5">
      <w:pPr>
        <w:pStyle w:val="ListParagraph"/>
        <w:numPr>
          <w:ilvl w:val="0"/>
          <w:numId w:val="4"/>
        </w:numPr>
      </w:pPr>
      <w:r w:rsidRPr="00770278">
        <w:t>If present, elevated levels of lead can cause serious health problems, especially for pregnant women and young children. Lead in drinking water is primarily from materials and components associated with se</w:t>
      </w:r>
      <w:r>
        <w:t xml:space="preserve">rvice lines and home plumbing. </w:t>
      </w:r>
      <w:proofErr w:type="spellStart"/>
      <w:r>
        <w:t>Cadgewith</w:t>
      </w:r>
      <w:proofErr w:type="spellEnd"/>
      <w:r>
        <w:t xml:space="preserve"> Farms </w:t>
      </w:r>
      <w:r w:rsidRPr="00770278">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EC106D">
          <w:rPr>
            <w:rStyle w:val="Hyperlink"/>
          </w:rPr>
          <w:t>http://www.epa.gov/safewater/lead</w:t>
        </w:r>
      </w:hyperlink>
      <w:r w:rsidRPr="00770278">
        <w:t>.</w:t>
      </w:r>
    </w:p>
    <w:p w14:paraId="63843FBF" w14:textId="02891028" w:rsidR="005670E5" w:rsidRPr="00770278" w:rsidRDefault="005670E5" w:rsidP="005670E5">
      <w:pPr>
        <w:pStyle w:val="ListParagraph"/>
        <w:numPr>
          <w:ilvl w:val="0"/>
          <w:numId w:val="4"/>
        </w:numPr>
      </w:pPr>
      <w:r w:rsidRPr="00770278">
        <w:t xml:space="preserve">Arsenic and nitrates are naturally occurring metals.  It occurs in rocks, soils and waters that come in contact with these rocks and soils.  If levels are present in water contact your water authority and the EPA water hotline (800-426-4791). </w:t>
      </w:r>
    </w:p>
    <w:p w14:paraId="638E6F1B" w14:textId="77777777" w:rsidR="005670E5" w:rsidRPr="00135691" w:rsidRDefault="005670E5" w:rsidP="005670E5">
      <w:pPr>
        <w:pStyle w:val="ListParagraph"/>
        <w:numPr>
          <w:ilvl w:val="0"/>
          <w:numId w:val="4"/>
        </w:numPr>
      </w:pPr>
      <w:r w:rsidRPr="00770278">
        <w:t xml:space="preserve"> Informational statements for vulnerable sub-</w:t>
      </w:r>
      <w:r w:rsidRPr="00135691">
        <w:t xml:space="preserve">populations on the following contaminants if detected over the level of concern: lead, copper, nitrate, fluoride, fecal coliform, or </w:t>
      </w:r>
      <w:r w:rsidRPr="00135691">
        <w:rPr>
          <w:i/>
          <w:iCs/>
        </w:rPr>
        <w:t>E. coli</w:t>
      </w:r>
      <w:r w:rsidRPr="00135691">
        <w:t>. See R 325.10420 (Rule 420).</w:t>
      </w:r>
    </w:p>
    <w:p w14:paraId="6A494E26" w14:textId="77777777" w:rsidR="005670E5" w:rsidRDefault="005670E5" w:rsidP="005670E5"/>
    <w:p w14:paraId="194804DD" w14:textId="77777777" w:rsidR="005670E5" w:rsidRDefault="005670E5" w:rsidP="005670E5">
      <w:r>
        <w:t xml:space="preserve">How can you get involved? </w:t>
      </w:r>
    </w:p>
    <w:p w14:paraId="7AEF4BD4" w14:textId="77777777" w:rsidR="005670E5" w:rsidRDefault="005670E5" w:rsidP="005670E5">
      <w:pPr>
        <w:pStyle w:val="ListParagraph"/>
        <w:numPr>
          <w:ilvl w:val="0"/>
          <w:numId w:val="4"/>
        </w:numPr>
      </w:pPr>
      <w:r>
        <w:t xml:space="preserve">If you would like to get involved to help protect our water source check out </w:t>
      </w:r>
      <w:hyperlink r:id="rId8" w:history="1">
        <w:r w:rsidRPr="008D5B26">
          <w:rPr>
            <w:rStyle w:val="Hyperlink"/>
          </w:rPr>
          <w:t>www.epa.gov/safewater/</w:t>
        </w:r>
      </w:hyperlink>
      <w:r>
        <w:t xml:space="preserve">. </w:t>
      </w:r>
    </w:p>
    <w:p w14:paraId="493CF109" w14:textId="77777777" w:rsidR="005670E5" w:rsidRDefault="005670E5" w:rsidP="005670E5">
      <w:pPr>
        <w:pStyle w:val="ListParagraph"/>
        <w:numPr>
          <w:ilvl w:val="0"/>
          <w:numId w:val="4"/>
        </w:numPr>
      </w:pPr>
      <w:r>
        <w:t xml:space="preserve">Help protect this essential resource by: </w:t>
      </w:r>
    </w:p>
    <w:p w14:paraId="41F7CB33" w14:textId="77777777" w:rsidR="005670E5" w:rsidRDefault="005670E5" w:rsidP="005670E5">
      <w:pPr>
        <w:pStyle w:val="ListParagraph"/>
        <w:numPr>
          <w:ilvl w:val="1"/>
          <w:numId w:val="4"/>
        </w:numPr>
      </w:pPr>
      <w:r>
        <w:t xml:space="preserve">Conserve, saving water educed energy costs and helps keep more water in our lakes, rivers, and ground water supply. </w:t>
      </w:r>
    </w:p>
    <w:p w14:paraId="5A3B30B4" w14:textId="77777777" w:rsidR="005670E5" w:rsidRDefault="005670E5" w:rsidP="005670E5">
      <w:pPr>
        <w:pStyle w:val="ListParagraph"/>
        <w:numPr>
          <w:ilvl w:val="1"/>
          <w:numId w:val="4"/>
        </w:numPr>
      </w:pPr>
      <w:r>
        <w:t xml:space="preserve">Never Flush, many items containing toxins, are bio-degradable.  They clog pipes, destroy protective bacteria and wreak havoc at the waste water treatment plants. </w:t>
      </w:r>
    </w:p>
    <w:p w14:paraId="2BC846AE" w14:textId="77777777" w:rsidR="005670E5" w:rsidRDefault="005670E5" w:rsidP="005670E5">
      <w:pPr>
        <w:pStyle w:val="ListParagraph"/>
        <w:numPr>
          <w:ilvl w:val="1"/>
          <w:numId w:val="4"/>
        </w:numPr>
      </w:pPr>
      <w:r>
        <w:t xml:space="preserve">Medications are NOT safe to flush.  They break down in the water and wastewater treatment plants are not equipped to remove them and they end up back in our water supply. </w:t>
      </w:r>
    </w:p>
    <w:p w14:paraId="3D4C3A28" w14:textId="77777777" w:rsidR="005670E5" w:rsidRDefault="005670E5" w:rsidP="005670E5">
      <w:pPr>
        <w:pStyle w:val="ListParagraph"/>
        <w:numPr>
          <w:ilvl w:val="1"/>
          <w:numId w:val="4"/>
        </w:numPr>
      </w:pPr>
      <w:r>
        <w:t xml:space="preserve">Waste disposal, dispose of waste properly (gasoline’s, oils, pesticides, paints, and antifreeze) are toxic substances poured/ spilled on the ground or down a drain can contaminate the water you drink. </w:t>
      </w:r>
    </w:p>
    <w:p w14:paraId="45324FB5" w14:textId="77777777" w:rsidR="005670E5" w:rsidRDefault="005670E5" w:rsidP="005670E5">
      <w:pPr>
        <w:pStyle w:val="Default"/>
        <w:ind w:left="720"/>
        <w:rPr>
          <w:sz w:val="20"/>
          <w:szCs w:val="20"/>
        </w:rPr>
      </w:pPr>
    </w:p>
    <w:p w14:paraId="2F96A9C5" w14:textId="400C8CBD" w:rsidR="00A53C12" w:rsidRDefault="00272435">
      <w:r>
        <w:t>For more information on your water please contact</w:t>
      </w:r>
    </w:p>
    <w:p w14:paraId="32213C21" w14:textId="3F772DBD" w:rsidR="00272435" w:rsidRDefault="00272435" w:rsidP="005441B8">
      <w:pPr>
        <w:pStyle w:val="ListParagraph"/>
        <w:numPr>
          <w:ilvl w:val="0"/>
          <w:numId w:val="7"/>
        </w:numPr>
      </w:pPr>
      <w:r>
        <w:t>Glenna Adams (517)371-1101</w:t>
      </w:r>
    </w:p>
    <w:p w14:paraId="13D75770" w14:textId="30027699" w:rsidR="005441B8" w:rsidRDefault="006D506A" w:rsidP="005441B8">
      <w:pPr>
        <w:pStyle w:val="ListParagraph"/>
        <w:numPr>
          <w:ilvl w:val="0"/>
          <w:numId w:val="7"/>
        </w:numPr>
      </w:pPr>
      <w:hyperlink r:id="rId9" w:history="1">
        <w:r w:rsidRPr="00EC106D">
          <w:rPr>
            <w:rStyle w:val="Hyperlink"/>
          </w:rPr>
          <w:t>Cadgewithfarm@gmail.com</w:t>
        </w:r>
      </w:hyperlink>
    </w:p>
    <w:p w14:paraId="16E3CAF0" w14:textId="289EC11C" w:rsidR="006D506A" w:rsidRDefault="006D506A" w:rsidP="005441B8">
      <w:pPr>
        <w:pStyle w:val="ListParagraph"/>
        <w:numPr>
          <w:ilvl w:val="0"/>
          <w:numId w:val="7"/>
        </w:numPr>
      </w:pPr>
      <w:r>
        <w:t>EPA’s Safe drinking water hotline (800-426-4791)</w:t>
      </w:r>
    </w:p>
    <w:p w14:paraId="2B60E67E" w14:textId="77777777" w:rsidR="00272435" w:rsidRDefault="00272435"/>
    <w:p w14:paraId="6B360C2A" w14:textId="77777777" w:rsidR="00272435" w:rsidRDefault="00272435"/>
    <w:sectPr w:rsidR="00272435" w:rsidSect="00E54F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6384C" w14:textId="77777777" w:rsidR="00B4266F" w:rsidRDefault="00B4266F" w:rsidP="00C51349">
      <w:r>
        <w:separator/>
      </w:r>
    </w:p>
  </w:endnote>
  <w:endnote w:type="continuationSeparator" w:id="0">
    <w:p w14:paraId="149A6A93" w14:textId="77777777" w:rsidR="00B4266F" w:rsidRDefault="00B4266F" w:rsidP="00C5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06156" w14:textId="77777777" w:rsidR="00B4266F" w:rsidRDefault="00B4266F" w:rsidP="00C51349">
      <w:r>
        <w:separator/>
      </w:r>
    </w:p>
  </w:footnote>
  <w:footnote w:type="continuationSeparator" w:id="0">
    <w:p w14:paraId="73ED5218" w14:textId="77777777" w:rsidR="00B4266F" w:rsidRDefault="00B4266F" w:rsidP="00C513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D8A6" w14:textId="11A2CBBE" w:rsidR="00C51349" w:rsidRDefault="00C51349" w:rsidP="00C51349">
    <w:pPr>
      <w:pStyle w:val="Header"/>
      <w:jc w:val="center"/>
      <w:rPr>
        <w:sz w:val="36"/>
        <w:szCs w:val="36"/>
      </w:rPr>
    </w:pPr>
    <w:r>
      <w:rPr>
        <w:noProof/>
      </w:rPr>
      <w:drawing>
        <wp:anchor distT="0" distB="0" distL="114300" distR="114300" simplePos="0" relativeHeight="251658240" behindDoc="0" locked="0" layoutInCell="1" allowOverlap="1" wp14:anchorId="2F06A445" wp14:editId="2CD8C44F">
          <wp:simplePos x="0" y="0"/>
          <wp:positionH relativeFrom="margin">
            <wp:posOffset>-749300</wp:posOffset>
          </wp:positionH>
          <wp:positionV relativeFrom="margin">
            <wp:posOffset>-986790</wp:posOffset>
          </wp:positionV>
          <wp:extent cx="2161540" cy="916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540" cy="916940"/>
                  </a:xfrm>
                  <a:prstGeom prst="rect">
                    <a:avLst/>
                  </a:prstGeom>
                </pic:spPr>
              </pic:pic>
            </a:graphicData>
          </a:graphic>
        </wp:anchor>
      </w:drawing>
    </w:r>
    <w:r w:rsidR="005670E5">
      <w:rPr>
        <w:sz w:val="36"/>
        <w:szCs w:val="36"/>
      </w:rPr>
      <w:t>2015</w:t>
    </w:r>
    <w:r w:rsidRPr="00C51349">
      <w:rPr>
        <w:sz w:val="36"/>
        <w:szCs w:val="36"/>
      </w:rPr>
      <w:t xml:space="preserve"> Consumer Confidence Report</w:t>
    </w:r>
  </w:p>
  <w:p w14:paraId="54C53883" w14:textId="77777777" w:rsidR="00C51349" w:rsidRPr="00C51349" w:rsidRDefault="00C51349" w:rsidP="00C51349">
    <w:pPr>
      <w:pStyle w:val="Header"/>
      <w:jc w:val="center"/>
    </w:pPr>
    <w:r w:rsidRPr="00C51349">
      <w:t xml:space="preserve">Water System: </w:t>
    </w:r>
    <w:proofErr w:type="spellStart"/>
    <w:r w:rsidRPr="00C51349">
      <w:t>Cadgewith</w:t>
    </w:r>
    <w:proofErr w:type="spellEnd"/>
    <w:r w:rsidRPr="00C51349">
      <w:t xml:space="preserve"> Farms    WSSN: 40599   District: </w:t>
    </w:r>
  </w:p>
  <w:p w14:paraId="2D15DC1F" w14:textId="77777777" w:rsidR="00C51349" w:rsidRDefault="00C513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7E63FC2"/>
    <w:lvl w:ilvl="0" w:tplc="00000001">
      <w:start w:val="1"/>
      <w:numFmt w:val="bullet"/>
      <w:lvlText w:val="•"/>
      <w:lvlJc w:val="left"/>
      <w:pPr>
        <w:ind w:left="1440" w:hanging="360"/>
      </w:pPr>
    </w:lvl>
    <w:lvl w:ilvl="1" w:tplc="04090003">
      <w:start w:val="1"/>
      <w:numFmt w:val="bullet"/>
      <w:lvlText w:val="o"/>
      <w:lvlJc w:val="left"/>
      <w:pPr>
        <w:ind w:left="72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2E5157"/>
    <w:multiLevelType w:val="hybridMultilevel"/>
    <w:tmpl w:val="4614F1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3799"/>
    <w:multiLevelType w:val="hybridMultilevel"/>
    <w:tmpl w:val="6BB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4531E"/>
    <w:multiLevelType w:val="multilevel"/>
    <w:tmpl w:val="871CD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5487FD9"/>
    <w:multiLevelType w:val="hybridMultilevel"/>
    <w:tmpl w:val="871C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6227F"/>
    <w:multiLevelType w:val="hybridMultilevel"/>
    <w:tmpl w:val="40E64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72F10"/>
    <w:multiLevelType w:val="hybridMultilevel"/>
    <w:tmpl w:val="4EB83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49"/>
    <w:rsid w:val="0002280E"/>
    <w:rsid w:val="00135691"/>
    <w:rsid w:val="00147B90"/>
    <w:rsid w:val="0015728A"/>
    <w:rsid w:val="002200DC"/>
    <w:rsid w:val="00272435"/>
    <w:rsid w:val="002A5C82"/>
    <w:rsid w:val="00374BAB"/>
    <w:rsid w:val="00405E64"/>
    <w:rsid w:val="00437E65"/>
    <w:rsid w:val="005441B8"/>
    <w:rsid w:val="005670E5"/>
    <w:rsid w:val="006206E2"/>
    <w:rsid w:val="00652ECD"/>
    <w:rsid w:val="006D0B5F"/>
    <w:rsid w:val="006D506A"/>
    <w:rsid w:val="006F280A"/>
    <w:rsid w:val="00703B88"/>
    <w:rsid w:val="00770278"/>
    <w:rsid w:val="00771132"/>
    <w:rsid w:val="00796EED"/>
    <w:rsid w:val="00893A3F"/>
    <w:rsid w:val="008B05CB"/>
    <w:rsid w:val="009E1673"/>
    <w:rsid w:val="00A53C12"/>
    <w:rsid w:val="00A907C8"/>
    <w:rsid w:val="00B4266F"/>
    <w:rsid w:val="00C26E78"/>
    <w:rsid w:val="00C3319A"/>
    <w:rsid w:val="00C42D62"/>
    <w:rsid w:val="00C51349"/>
    <w:rsid w:val="00D64820"/>
    <w:rsid w:val="00DF3304"/>
    <w:rsid w:val="00E54F33"/>
    <w:rsid w:val="00F43198"/>
    <w:rsid w:val="00FF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1F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B05CB"/>
    <w:pPr>
      <w:keepNext/>
      <w:outlineLvl w:val="1"/>
    </w:pPr>
    <w:rPr>
      <w:rFonts w:ascii="Arial" w:eastAsia="Times New Roman" w:hAnsi="Arial" w:cs="Times New Roman"/>
      <w:b/>
      <w:sz w:val="18"/>
      <w:szCs w:val="20"/>
    </w:rPr>
  </w:style>
  <w:style w:type="paragraph" w:styleId="Heading3">
    <w:name w:val="heading 3"/>
    <w:basedOn w:val="Normal"/>
    <w:next w:val="Normal"/>
    <w:link w:val="Heading3Char"/>
    <w:qFormat/>
    <w:rsid w:val="008B05CB"/>
    <w:pPr>
      <w:keepNext/>
      <w:outlineLvl w:val="2"/>
    </w:pPr>
    <w:rPr>
      <w:rFonts w:ascii="Arial" w:eastAsia="Times New Roman" w:hAnsi="Arial" w:cs="Times New Roman"/>
      <w:b/>
      <w:sz w:val="22"/>
      <w:szCs w:val="20"/>
    </w:rPr>
  </w:style>
  <w:style w:type="paragraph" w:styleId="Heading4">
    <w:name w:val="heading 4"/>
    <w:basedOn w:val="Normal"/>
    <w:next w:val="Normal"/>
    <w:link w:val="Heading4Char"/>
    <w:qFormat/>
    <w:rsid w:val="008B05CB"/>
    <w:pPr>
      <w:keepNext/>
      <w:jc w:val="center"/>
      <w:outlineLvl w:val="3"/>
    </w:pPr>
    <w:rPr>
      <w:rFonts w:ascii="Arial" w:eastAsia="Times New Roman" w:hAnsi="Arial" w:cs="Times New Roman"/>
      <w:b/>
      <w:sz w:val="22"/>
      <w:szCs w:val="20"/>
    </w:rPr>
  </w:style>
  <w:style w:type="paragraph" w:styleId="Heading5">
    <w:name w:val="heading 5"/>
    <w:basedOn w:val="Normal"/>
    <w:next w:val="Normal"/>
    <w:link w:val="Heading5Char"/>
    <w:qFormat/>
    <w:rsid w:val="008B05CB"/>
    <w:pPr>
      <w:keepNext/>
      <w:jc w:val="center"/>
      <w:outlineLvl w:val="4"/>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49"/>
    <w:pPr>
      <w:tabs>
        <w:tab w:val="center" w:pos="4680"/>
        <w:tab w:val="right" w:pos="9360"/>
      </w:tabs>
    </w:pPr>
  </w:style>
  <w:style w:type="character" w:customStyle="1" w:styleId="HeaderChar">
    <w:name w:val="Header Char"/>
    <w:basedOn w:val="DefaultParagraphFont"/>
    <w:link w:val="Header"/>
    <w:uiPriority w:val="99"/>
    <w:rsid w:val="00C51349"/>
  </w:style>
  <w:style w:type="paragraph" w:styleId="Footer">
    <w:name w:val="footer"/>
    <w:basedOn w:val="Normal"/>
    <w:link w:val="FooterChar"/>
    <w:uiPriority w:val="99"/>
    <w:unhideWhenUsed/>
    <w:rsid w:val="00C51349"/>
    <w:pPr>
      <w:tabs>
        <w:tab w:val="center" w:pos="4680"/>
        <w:tab w:val="right" w:pos="9360"/>
      </w:tabs>
    </w:pPr>
  </w:style>
  <w:style w:type="character" w:customStyle="1" w:styleId="FooterChar">
    <w:name w:val="Footer Char"/>
    <w:basedOn w:val="DefaultParagraphFont"/>
    <w:link w:val="Footer"/>
    <w:uiPriority w:val="99"/>
    <w:rsid w:val="00C51349"/>
  </w:style>
  <w:style w:type="paragraph" w:styleId="ListParagraph">
    <w:name w:val="List Paragraph"/>
    <w:basedOn w:val="Normal"/>
    <w:uiPriority w:val="34"/>
    <w:qFormat/>
    <w:rsid w:val="00C51349"/>
    <w:pPr>
      <w:ind w:left="720"/>
      <w:contextualSpacing/>
    </w:pPr>
  </w:style>
  <w:style w:type="character" w:styleId="Hyperlink">
    <w:name w:val="Hyperlink"/>
    <w:basedOn w:val="DefaultParagraphFont"/>
    <w:uiPriority w:val="99"/>
    <w:unhideWhenUsed/>
    <w:rsid w:val="00C51349"/>
    <w:rPr>
      <w:color w:val="0563C1" w:themeColor="hyperlink"/>
      <w:u w:val="single"/>
    </w:rPr>
  </w:style>
  <w:style w:type="character" w:styleId="FollowedHyperlink">
    <w:name w:val="FollowedHyperlink"/>
    <w:basedOn w:val="DefaultParagraphFont"/>
    <w:uiPriority w:val="99"/>
    <w:semiHidden/>
    <w:unhideWhenUsed/>
    <w:rsid w:val="00C51349"/>
    <w:rPr>
      <w:color w:val="954F72" w:themeColor="followedHyperlink"/>
      <w:u w:val="single"/>
    </w:rPr>
  </w:style>
  <w:style w:type="paragraph" w:customStyle="1" w:styleId="Default">
    <w:name w:val="Default"/>
    <w:rsid w:val="00135691"/>
    <w:pPr>
      <w:widowControl w:val="0"/>
      <w:autoSpaceDE w:val="0"/>
      <w:autoSpaceDN w:val="0"/>
      <w:adjustRightInd w:val="0"/>
    </w:pPr>
    <w:rPr>
      <w:rFonts w:ascii="Arial" w:hAnsi="Arial" w:cs="Arial"/>
      <w:color w:val="000000"/>
    </w:rPr>
  </w:style>
  <w:style w:type="table" w:styleId="TableGrid">
    <w:name w:val="Table Grid"/>
    <w:basedOn w:val="TableNormal"/>
    <w:uiPriority w:val="39"/>
    <w:rsid w:val="009E1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B05CB"/>
    <w:rPr>
      <w:rFonts w:ascii="Arial" w:eastAsia="Times New Roman" w:hAnsi="Arial" w:cs="Times New Roman"/>
      <w:b/>
      <w:sz w:val="18"/>
      <w:szCs w:val="20"/>
    </w:rPr>
  </w:style>
  <w:style w:type="character" w:customStyle="1" w:styleId="Heading3Char">
    <w:name w:val="Heading 3 Char"/>
    <w:basedOn w:val="DefaultParagraphFont"/>
    <w:link w:val="Heading3"/>
    <w:rsid w:val="008B05CB"/>
    <w:rPr>
      <w:rFonts w:ascii="Arial" w:eastAsia="Times New Roman" w:hAnsi="Arial" w:cs="Times New Roman"/>
      <w:b/>
      <w:sz w:val="22"/>
      <w:szCs w:val="20"/>
    </w:rPr>
  </w:style>
  <w:style w:type="character" w:customStyle="1" w:styleId="Heading4Char">
    <w:name w:val="Heading 4 Char"/>
    <w:basedOn w:val="DefaultParagraphFont"/>
    <w:link w:val="Heading4"/>
    <w:rsid w:val="008B05CB"/>
    <w:rPr>
      <w:rFonts w:ascii="Arial" w:eastAsia="Times New Roman" w:hAnsi="Arial" w:cs="Times New Roman"/>
      <w:b/>
      <w:sz w:val="22"/>
      <w:szCs w:val="20"/>
    </w:rPr>
  </w:style>
  <w:style w:type="character" w:customStyle="1" w:styleId="Heading5Char">
    <w:name w:val="Heading 5 Char"/>
    <w:basedOn w:val="DefaultParagraphFont"/>
    <w:link w:val="Heading5"/>
    <w:rsid w:val="008B05CB"/>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pa.gov/safewater/lead" TargetMode="External"/><Relationship Id="rId8" Type="http://schemas.openxmlformats.org/officeDocument/2006/relationships/hyperlink" Target="http://www.epa.gov/safewater/" TargetMode="External"/><Relationship Id="rId9" Type="http://schemas.openxmlformats.org/officeDocument/2006/relationships/hyperlink" Target="mailto:Cadgewithfarm@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Cadgewith Farms</dc:creator>
  <cp:keywords/>
  <dc:description/>
  <cp:lastModifiedBy>Cadgewith Farms</cp:lastModifiedBy>
  <cp:revision>3</cp:revision>
  <dcterms:created xsi:type="dcterms:W3CDTF">2016-06-27T15:54:00Z</dcterms:created>
  <dcterms:modified xsi:type="dcterms:W3CDTF">2016-06-27T16:02:00Z</dcterms:modified>
</cp:coreProperties>
</file>